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t>A N E X O “B”</w:t>
      </w:r>
    </w:p>
    <w:p>
      <w:pPr>
        <w:pStyle w:val="Normal"/>
        <w:spacing w:lineRule="auto" w:line="240" w:before="0" w:after="0"/>
        <w:jc w:val="center"/>
        <w:rPr>
          <w:rFonts w:ascii="Arial" w:hAnsi="Arial" w:cs="Arial"/>
          <w:b/>
          <w:b/>
          <w:sz w:val="16"/>
          <w:szCs w:val="16"/>
          <w:u w:val="single"/>
          <w:lang w:val="es-MX"/>
        </w:rPr>
      </w:pPr>
      <w:r>
        <w:rPr>
          <w:rFonts w:cs="Arial" w:ascii="Arial" w:hAnsi="Arial"/>
          <w:b/>
          <w:sz w:val="16"/>
          <w:szCs w:val="16"/>
          <w:u w:val="single"/>
          <w:lang w:val="es-MX"/>
        </w:rPr>
      </w:r>
    </w:p>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t>INFORME FINAL DE INSPECCIÓN TÉCNICA ADMINISTRATIVA A LA CAPITANÍA DE PUERTO DE CHACABUCO</w:t>
      </w:r>
    </w:p>
    <w:p>
      <w:pPr>
        <w:pStyle w:val="Normal"/>
        <w:spacing w:before="0" w:after="0"/>
        <w:jc w:val="center"/>
        <w:rPr>
          <w:rFonts w:ascii="Arial" w:hAnsi="Arial" w:cs="Arial"/>
          <w:b/>
          <w:b/>
          <w:sz w:val="16"/>
          <w:szCs w:val="16"/>
          <w:u w:val="single"/>
          <w:lang w:val="es-MX"/>
        </w:rPr>
      </w:pPr>
      <w:r>
        <w:rPr>
          <w:rFonts w:cs="Arial" w:ascii="Arial" w:hAnsi="Arial"/>
          <w:b/>
          <w:sz w:val="16"/>
          <w:szCs w:val="16"/>
          <w:u w:val="single"/>
          <w:lang w:val="es-MX"/>
        </w:rPr>
      </w:r>
    </w:p>
    <w:tbl>
      <w:tblPr>
        <w:tblStyle w:val="Tablaconcuadrcula"/>
        <w:tblW w:w="17307" w:type="dxa"/>
        <w:jc w:val="center"/>
        <w:tblInd w:w="0" w:type="dxa"/>
        <w:tblCellMar>
          <w:top w:w="0" w:type="dxa"/>
          <w:left w:w="108" w:type="dxa"/>
          <w:bottom w:w="0" w:type="dxa"/>
          <w:right w:w="108" w:type="dxa"/>
        </w:tblCellMar>
        <w:tblLook w:firstRow="1" w:noVBand="1" w:lastRow="0" w:firstColumn="1" w:lastColumn="0" w:noHBand="0" w:val="04a0"/>
      </w:tblPr>
      <w:tblGrid>
        <w:gridCol w:w="571"/>
        <w:gridCol w:w="2975"/>
        <w:gridCol w:w="2836"/>
        <w:gridCol w:w="2127"/>
        <w:gridCol w:w="3965"/>
        <w:gridCol w:w="2551"/>
        <w:gridCol w:w="2281"/>
      </w:tblGrid>
      <w:tr>
        <w:trPr>
          <w:tblHeader w:val="true"/>
        </w:trPr>
        <w:tc>
          <w:tcPr>
            <w:tcW w:w="571"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97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12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6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5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28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c>
          <w:tcPr>
            <w:tcW w:w="15025" w:type="dxa"/>
            <w:gridSpan w:val="6"/>
            <w:tcBorders/>
            <w:vAlign w:val="bottom"/>
          </w:tcPr>
          <w:p>
            <w:pPr>
              <w:pStyle w:val="Normal"/>
              <w:spacing w:lineRule="auto" w:line="240" w:before="0" w:after="0"/>
              <w:jc w:val="both"/>
              <w:rPr>
                <w:rFonts w:ascii="Arial" w:hAnsi="Arial" w:cs="Arial"/>
                <w:b/>
                <w:b/>
                <w:sz w:val="16"/>
                <w:szCs w:val="16"/>
                <w:lang w:val="es-MX"/>
              </w:rPr>
            </w:pPr>
            <w:r>
              <w:rPr>
                <w:rFonts w:cs="Arial" w:ascii="Arial" w:hAnsi="Arial"/>
                <w:b/>
                <w:sz w:val="16"/>
                <w:szCs w:val="16"/>
                <w:lang w:val="es-MX"/>
              </w:rPr>
            </w:r>
          </w:p>
          <w:p>
            <w:pPr>
              <w:pStyle w:val="Normal"/>
              <w:spacing w:lineRule="auto" w:line="240" w:before="0" w:after="0"/>
              <w:jc w:val="both"/>
              <w:rPr>
                <w:rFonts w:ascii="Arial" w:hAnsi="Arial" w:cs="Arial"/>
                <w:b/>
                <w:b/>
                <w:sz w:val="24"/>
                <w:szCs w:val="24"/>
                <w:lang w:val="es-MX"/>
              </w:rPr>
            </w:pPr>
            <w:r>
              <w:rPr>
                <w:rFonts w:eastAsia="Times New Roman" w:cs="Arial" w:ascii="Arial" w:hAnsi="Arial"/>
                <w:b/>
                <w:bCs/>
                <w:sz w:val="24"/>
                <w:szCs w:val="24"/>
                <w:lang w:eastAsia="es-CL"/>
              </w:rPr>
              <w:t>1.- JEFATURA.</w:t>
            </w:r>
          </w:p>
        </w:tc>
        <w:tc>
          <w:tcPr>
            <w:tcW w:w="2281" w:type="dxa"/>
            <w:tcBorders/>
          </w:tcPr>
          <w:p>
            <w:pPr>
              <w:pStyle w:val="Normal"/>
              <w:spacing w:lineRule="auto" w:line="240" w:before="0" w:after="0"/>
              <w:jc w:val="both"/>
              <w:rPr>
                <w:rFonts w:ascii="Arial" w:hAnsi="Arial" w:cs="Arial"/>
                <w:b/>
                <w:b/>
                <w:sz w:val="16"/>
                <w:szCs w:val="16"/>
                <w:lang w:val="es-MX"/>
              </w:rPr>
            </w:pPr>
            <w:r>
              <w:rPr>
                <w:rFonts w:cs="Arial" w:ascii="Arial" w:hAnsi="Arial"/>
                <w:b/>
                <w:sz w:val="16"/>
                <w:szCs w:val="16"/>
                <w:lang w:val="es-MX"/>
              </w:rPr>
            </w:r>
          </w:p>
        </w:tc>
      </w:tr>
      <w:tr>
        <w:trPr/>
        <w:tc>
          <w:tcPr>
            <w:tcW w:w="571"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tc>
        <w:tc>
          <w:tcPr>
            <w:tcW w:w="2975" w:type="dxa"/>
            <w:tcBorders/>
          </w:tcPr>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t>Capitán de Puerto manifiesta que debido al alto grado de actividad que existe en la jurisdicción, la cantidad de naves que operan en ella y las distancias geográficas, se hace necesario contar con un segundo Inspector de Naves Menores, señalando la cantidad de inspecciones del año 2020, fue de 650 inspecciones a naves menores.</w:t>
            </w:r>
          </w:p>
        </w:tc>
        <w:tc>
          <w:tcPr>
            <w:tcW w:w="2836" w:type="dxa"/>
            <w:tcBorders>
              <w:left w:val="nil"/>
            </w:tcBorders>
          </w:tcPr>
          <w:p>
            <w:pPr>
              <w:pStyle w:val="Normal"/>
              <w:spacing w:lineRule="auto" w:line="240" w:before="0" w:after="0"/>
              <w:jc w:val="both"/>
              <w:rPr>
                <w:rFonts w:ascii="Arial" w:hAnsi="Arial" w:cs="Arial"/>
                <w:sz w:val="24"/>
                <w:szCs w:val="24"/>
              </w:rPr>
            </w:pPr>
            <w:r>
              <w:rPr>
                <w:rFonts w:eastAsia="Times New Roman" w:cs="Arial" w:ascii="Arial" w:hAnsi="Arial"/>
                <w:sz w:val="24"/>
                <w:szCs w:val="24"/>
                <w:lang w:eastAsia="es-CL"/>
              </w:rPr>
              <w:t>Manual de Organización y Funcionamiento de Gobernaciones Marítimas y Capitanías de Puerto. Título 5, I.- JEFATURA, C.- Capitán de Puerto, art. 1001°, letra l.-.</w:t>
            </w:r>
          </w:p>
        </w:tc>
        <w:tc>
          <w:tcPr>
            <w:tcW w:w="2127" w:type="dxa"/>
            <w:tcBorders>
              <w:left w:val="nil"/>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 xml:space="preserve">Gestionar requerimiento por vía oficial a su mando para iniciar trámite reglamentario, remitiendo copia del documento. </w:t>
            </w:r>
          </w:p>
        </w:tc>
        <w:tc>
          <w:tcPr>
            <w:tcW w:w="3965" w:type="dxa"/>
            <w:tcBorders>
              <w:left w:val="nil"/>
            </w:tcBorders>
          </w:tcPr>
          <w:p>
            <w:pPr>
              <w:pStyle w:val="Normal"/>
              <w:spacing w:lineRule="auto" w:line="240" w:before="0" w:after="0"/>
              <w:jc w:val="both"/>
              <w:rPr>
                <w:rFonts w:ascii="Arial" w:hAnsi="Arial" w:cs="Arial"/>
                <w:b/>
                <w:b/>
                <w:sz w:val="24"/>
                <w:szCs w:val="24"/>
                <w:lang w:val="es-MX"/>
              </w:rPr>
            </w:pPr>
            <w:r>
              <w:rPr>
                <w:rFonts w:cs="Arial" w:ascii="Arial" w:hAnsi="Arial"/>
                <w:bCs/>
                <w:sz w:val="24"/>
                <w:szCs w:val="24"/>
              </w:rPr>
              <w:t>Mediante oficio C.P. CHB. Res. N° 1325/649/Vrs., de fecha 30 de junio de 2021, se eleva solicitud a la Gobernación Marítima de Aysén para la contratación de PAC, objeto se desempeñe como Inspector de Naves Menores. Se adjunta en anexo “E” citado oficio.</w:t>
            </w:r>
          </w:p>
        </w:tc>
        <w:tc>
          <w:tcPr>
            <w:tcW w:w="2551" w:type="dxa"/>
            <w:tcBorders>
              <w:left w:val="nil"/>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281" w:type="dxa"/>
            <w:tcBorders>
              <w:left w:val="nil"/>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c>
          <w:tcPr>
            <w:tcW w:w="571"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b)</w:t>
            </w:r>
          </w:p>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r>
          </w:p>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r>
          </w:p>
        </w:tc>
        <w:tc>
          <w:tcPr>
            <w:tcW w:w="2975" w:type="dxa"/>
            <w:tcBorders/>
            <w:vAlign w:val="center"/>
          </w:tcPr>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t>Capitán de Puerto manifiesta que del análisis de su jurisdicción y casos que se han presentado, existen lagos que se encuentran distantes aproximadamente 08 horas de Puerto Chacabuco y a menos de una hora de la jurisdicción de la Capitanía de Puerto de Lago General Carrera, lo que en caso de emergencias significa limitar en los medios a su Capitanía de Puerto por prolongados períodos de tiempo, lo que podría afectar seriamente la capacidad de respuesta ante la presencia de otra emergencia en forma simultánea, planteando la factibilidad de reevaluar los límites jurisdiccionales de las Capitanías de Puerto de Chacabuco y del Lago General Carrera, en beneficio de la disponibilidad de los medios y del servicio.</w:t>
            </w:r>
          </w:p>
        </w:tc>
        <w:tc>
          <w:tcPr>
            <w:tcW w:w="2836" w:type="dxa"/>
            <w:tcBorders>
              <w:left w:val="nil"/>
            </w:tcBorders>
          </w:tcPr>
          <w:p>
            <w:pPr>
              <w:pStyle w:val="Normal"/>
              <w:spacing w:lineRule="auto" w:line="240" w:before="0" w:after="0"/>
              <w:jc w:val="both"/>
              <w:rPr>
                <w:rFonts w:ascii="Arial" w:hAnsi="Arial" w:eastAsia="Times New Roman" w:cs="Arial"/>
                <w:sz w:val="24"/>
                <w:szCs w:val="24"/>
                <w:lang w:eastAsia="es-CL"/>
              </w:rPr>
            </w:pPr>
            <w:r>
              <w:rPr>
                <w:rFonts w:eastAsia="Times New Roman" w:cs="Arial" w:ascii="Arial" w:hAnsi="Arial"/>
                <w:sz w:val="24"/>
                <w:szCs w:val="24"/>
                <w:lang w:eastAsia="es-CL"/>
              </w:rPr>
              <w:t>Manual de Organización y Funcionamiento de Gobernaciones Marítimas y Capitanías de Puerto. Título 5, I.- JEFATURA, C.- Capitán de Puerto, art. 1001°, letra l.-.</w:t>
            </w:r>
          </w:p>
        </w:tc>
        <w:tc>
          <w:tcPr>
            <w:tcW w:w="2127" w:type="dxa"/>
            <w:tcBorders>
              <w:left w:val="nil"/>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 xml:space="preserve">Gestionar requerimiento por vía oficial a su mando para iniciar trámite reglamentario, remitiendo copia del documento. </w:t>
            </w:r>
          </w:p>
        </w:tc>
        <w:tc>
          <w:tcPr>
            <w:tcW w:w="3965" w:type="dxa"/>
            <w:tcBorders>
              <w:left w:val="nil"/>
            </w:tcBorders>
          </w:tcPr>
          <w:p>
            <w:pPr>
              <w:pStyle w:val="Normal"/>
              <w:spacing w:lineRule="auto" w:line="240" w:before="0" w:after="0"/>
              <w:jc w:val="both"/>
              <w:rPr>
                <w:rFonts w:ascii="Arial" w:hAnsi="Arial" w:cs="Arial"/>
                <w:bCs/>
                <w:sz w:val="24"/>
                <w:szCs w:val="24"/>
              </w:rPr>
            </w:pPr>
            <w:r>
              <w:rPr>
                <w:rFonts w:cs="Arial" w:ascii="Arial" w:hAnsi="Arial"/>
                <w:bCs/>
                <w:sz w:val="24"/>
                <w:szCs w:val="24"/>
              </w:rPr>
              <w:t>Mediante oficio C.P. CHB. Ord. N° 12.065/650, de fecha 30 de junio de 2021, se eleva a la Gobernación Marítima de Aysén, propuesta de modificación de límites jurisdiccionales de la Capitanía de Puerto de Puerto Chacabuco. Se adjunta en anexo “E” citado oficio.</w:t>
            </w:r>
          </w:p>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551" w:type="dxa"/>
            <w:tcBorders>
              <w:left w:val="nil"/>
            </w:tcBorders>
            <w:vAlign w:val="center"/>
          </w:tcPr>
          <w:p>
            <w:pPr>
              <w:pStyle w:val="Normal"/>
              <w:spacing w:lineRule="auto" w:line="240" w:before="0" w:after="0"/>
              <w:jc w:val="center"/>
              <w:rPr>
                <w:rFonts w:ascii="Arial" w:hAnsi="Arial" w:cs="Arial"/>
                <w:sz w:val="24"/>
                <w:szCs w:val="24"/>
                <w:highlight w:val="yellow"/>
                <w:lang w:val="es-MX"/>
              </w:rPr>
            </w:pPr>
            <w:r>
              <w:rPr>
                <w:rFonts w:cs="Arial" w:ascii="Arial" w:hAnsi="Arial"/>
                <w:b/>
                <w:sz w:val="24"/>
                <w:szCs w:val="24"/>
                <w:lang w:val="es-MX"/>
              </w:rPr>
              <w:t>SUPERADA</w:t>
            </w:r>
          </w:p>
        </w:tc>
        <w:tc>
          <w:tcPr>
            <w:tcW w:w="2281" w:type="dxa"/>
            <w:tcBorders>
              <w:left w:val="nil"/>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125" w:type="dxa"/>
        <w:jc w:val="center"/>
        <w:tblInd w:w="0" w:type="dxa"/>
        <w:tblCellMar>
          <w:top w:w="0" w:type="dxa"/>
          <w:left w:w="108" w:type="dxa"/>
          <w:bottom w:w="0" w:type="dxa"/>
          <w:right w:w="108" w:type="dxa"/>
        </w:tblCellMar>
        <w:tblLook w:firstRow="1" w:noVBand="1" w:lastRow="0" w:firstColumn="1" w:lastColumn="0" w:noHBand="0" w:val="04a0"/>
      </w:tblPr>
      <w:tblGrid>
        <w:gridCol w:w="539"/>
        <w:gridCol w:w="2836"/>
        <w:gridCol w:w="2836"/>
        <w:gridCol w:w="2127"/>
        <w:gridCol w:w="4137"/>
        <w:gridCol w:w="2463"/>
        <w:gridCol w:w="2186"/>
      </w:tblGrid>
      <w:tr>
        <w:trPr>
          <w:tblHeader w:val="true"/>
        </w:trPr>
        <w:tc>
          <w:tcPr>
            <w:tcW w:w="539"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12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3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6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8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4938" w:type="dxa"/>
            <w:gridSpan w:val="6"/>
            <w:tcBorders/>
          </w:tcPr>
          <w:p>
            <w:pPr>
              <w:pStyle w:val="Normal"/>
              <w:spacing w:lineRule="auto" w:line="240" w:before="0" w:after="0"/>
              <w:rPr>
                <w:rFonts w:ascii="Arial" w:hAnsi="Arial" w:eastAsia="Times New Roman" w:cs="Arial"/>
                <w:b/>
                <w:b/>
                <w:bCs/>
                <w:sz w:val="16"/>
                <w:szCs w:val="16"/>
                <w:lang w:eastAsia="es-CL"/>
              </w:rPr>
            </w:pPr>
            <w:r>
              <w:rPr>
                <w:rFonts w:eastAsia="Times New Roman" w:cs="Arial" w:ascii="Arial" w:hAnsi="Arial"/>
                <w:b/>
                <w:bCs/>
                <w:sz w:val="16"/>
                <w:szCs w:val="16"/>
                <w:lang w:eastAsia="es-CL"/>
              </w:rPr>
            </w:r>
          </w:p>
          <w:p>
            <w:pPr>
              <w:pStyle w:val="Normal"/>
              <w:spacing w:lineRule="auto" w:line="240" w:before="0" w:after="0"/>
              <w:jc w:val="both"/>
              <w:rPr>
                <w:rFonts w:ascii="Arial" w:hAnsi="Arial" w:cs="Arial"/>
                <w:b/>
                <w:b/>
                <w:sz w:val="16"/>
                <w:szCs w:val="16"/>
                <w:highlight w:val="yellow"/>
                <w:lang w:val="es-MX"/>
              </w:rPr>
            </w:pPr>
            <w:r>
              <w:rPr>
                <w:rFonts w:eastAsia="Times New Roman" w:cs="Arial" w:ascii="Arial" w:hAnsi="Arial"/>
                <w:b/>
                <w:bCs/>
                <w:sz w:val="24"/>
                <w:szCs w:val="24"/>
                <w:lang w:eastAsia="es-CL"/>
              </w:rPr>
              <w:t>2.- SUBJEFATURA.</w:t>
            </w:r>
          </w:p>
        </w:tc>
        <w:tc>
          <w:tcPr>
            <w:tcW w:w="2186" w:type="dxa"/>
            <w:tcBorders/>
          </w:tcPr>
          <w:p>
            <w:pPr>
              <w:pStyle w:val="Normal"/>
              <w:spacing w:lineRule="auto" w:line="240" w:before="0" w:after="0"/>
              <w:rPr>
                <w:rFonts w:ascii="Arial" w:hAnsi="Arial" w:eastAsia="Times New Roman" w:cs="Arial"/>
                <w:b/>
                <w:b/>
                <w:bCs/>
                <w:sz w:val="16"/>
                <w:szCs w:val="16"/>
                <w:lang w:eastAsia="es-CL"/>
              </w:rPr>
            </w:pPr>
            <w:r>
              <w:rPr>
                <w:rFonts w:eastAsia="Times New Roman" w:cs="Arial" w:ascii="Arial" w:hAnsi="Arial"/>
                <w:b/>
                <w:bCs/>
                <w:sz w:val="16"/>
                <w:szCs w:val="16"/>
                <w:lang w:eastAsia="es-CL"/>
              </w:rPr>
            </w:r>
          </w:p>
        </w:tc>
      </w:tr>
      <w:tr>
        <w:trPr>
          <w:tblHeader w:val="true"/>
        </w:trPr>
        <w:tc>
          <w:tcPr>
            <w:tcW w:w="539"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tc>
        <w:tc>
          <w:tcPr>
            <w:tcW w:w="2836" w:type="dxa"/>
            <w:tcBorders/>
          </w:tcPr>
          <w:p>
            <w:pPr>
              <w:pStyle w:val="Normal"/>
              <w:spacing w:lineRule="auto" w:line="240" w:before="0" w:after="0"/>
              <w:ind w:left="34" w:right="30" w:hanging="0"/>
              <w:jc w:val="both"/>
              <w:rPr>
                <w:rFonts w:ascii="Arial" w:hAnsi="Arial" w:eastAsia="Times New Roman" w:cs="Arial"/>
                <w:sz w:val="24"/>
                <w:szCs w:val="24"/>
                <w:lang w:eastAsia="es-CL"/>
              </w:rPr>
            </w:pPr>
            <w:r>
              <w:rPr>
                <w:rFonts w:eastAsia="Times New Roman" w:cs="Arial" w:ascii="Arial" w:hAnsi="Arial"/>
                <w:sz w:val="24"/>
                <w:szCs w:val="24"/>
                <w:lang w:eastAsia="es-CL"/>
              </w:rPr>
              <w:t>Se revisaron procedimientos dispuestos en la Capitanía de Puerto para la gestión del Buzón O.S.R., los que se encuentran dispuestos en una Orden Transitoria Interna la que regula instrucciones de carácter permanente.</w:t>
            </w:r>
          </w:p>
        </w:tc>
        <w:tc>
          <w:tcPr>
            <w:tcW w:w="2836" w:type="dxa"/>
            <w:tcBorders/>
          </w:tcPr>
          <w:p>
            <w:pPr>
              <w:pStyle w:val="Normal"/>
              <w:spacing w:lineRule="auto" w:line="240" w:before="0" w:after="0"/>
              <w:ind w:left="34" w:right="30" w:hanging="0"/>
              <w:jc w:val="both"/>
              <w:rPr>
                <w:rFonts w:ascii="Arial" w:hAnsi="Arial" w:eastAsia="Times New Roman" w:cs="Arial"/>
                <w:sz w:val="24"/>
                <w:szCs w:val="24"/>
                <w:lang w:eastAsia="es-CL"/>
              </w:rPr>
            </w:pPr>
            <w:r>
              <w:rPr>
                <w:rFonts w:cs="Arial" w:ascii="Arial" w:hAnsi="Arial"/>
                <w:sz w:val="24"/>
                <w:szCs w:val="24"/>
                <w:lang w:val="es-MX"/>
              </w:rPr>
              <w:t>Reglamento de Publicaciones y Tramitaciones de la Armada de Chile N° 7-20/1.</w:t>
            </w:r>
          </w:p>
        </w:tc>
        <w:tc>
          <w:tcPr>
            <w:tcW w:w="2127" w:type="dxa"/>
            <w:tcBorders/>
          </w:tcPr>
          <w:p>
            <w:pPr>
              <w:pStyle w:val="Normal"/>
              <w:spacing w:lineRule="auto" w:line="240" w:before="0" w:after="0"/>
              <w:ind w:right="30" w:hanging="0"/>
              <w:jc w:val="both"/>
              <w:rPr>
                <w:rFonts w:ascii="Arial" w:hAnsi="Arial" w:eastAsia="Times New Roman" w:cs="Arial"/>
                <w:sz w:val="24"/>
                <w:szCs w:val="24"/>
                <w:lang w:eastAsia="es-CL"/>
              </w:rPr>
            </w:pPr>
            <w:r>
              <w:rPr>
                <w:rFonts w:eastAsia="Times New Roman" w:cs="Arial" w:ascii="Arial" w:hAnsi="Arial"/>
                <w:sz w:val="24"/>
                <w:szCs w:val="24"/>
                <w:lang w:eastAsia="es-CL"/>
              </w:rPr>
              <w:t xml:space="preserve">Disponer procedimiento de Buzón O.S.R. a través de una O.P.I. firmada por el Sr. Capitán de Puerto y la disposición del personal en una O.T.I., remitiendo ambos documentos corregidos.  </w:t>
            </w:r>
          </w:p>
        </w:tc>
        <w:tc>
          <w:tcPr>
            <w:tcW w:w="4137" w:type="dxa"/>
            <w:tcBorders/>
          </w:tcPr>
          <w:p>
            <w:pPr>
              <w:pStyle w:val="Normal"/>
              <w:spacing w:lineRule="auto" w:line="240" w:before="0" w:after="0"/>
              <w:ind w:left="34" w:right="30" w:hanging="0"/>
              <w:jc w:val="both"/>
              <w:rPr>
                <w:rFonts w:ascii="Arial" w:hAnsi="Arial" w:eastAsia="Times New Roman" w:cs="Arial"/>
                <w:sz w:val="24"/>
                <w:szCs w:val="24"/>
                <w:lang w:eastAsia="es-CL"/>
              </w:rPr>
            </w:pPr>
            <w:r>
              <w:rPr>
                <w:rFonts w:eastAsia="Times New Roman" w:cs="Arial" w:ascii="Arial" w:hAnsi="Arial"/>
                <w:sz w:val="24"/>
                <w:szCs w:val="24"/>
                <w:lang w:eastAsia="es-CL"/>
              </w:rPr>
              <w:t>Mediante O.P.I. Nº 400/15, de fecha  1 de julio de 2021 y O.T.I. CP.CHB Ord. N°17/2021, de fecha 1 de julio de 2021, se estableció el procedimiento y las responsabilidades del personal para recoger las opiniones de los usuarios marítimos, a través del Buzón O.S.R.  Se adjuntan en anexo “E”, O.PI. y O.T.I. descrita.</w:t>
            </w:r>
          </w:p>
        </w:tc>
        <w:tc>
          <w:tcPr>
            <w:tcW w:w="246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86"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blHeader w:val="true"/>
        </w:trPr>
        <w:tc>
          <w:tcPr>
            <w:tcW w:w="539"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b)</w:t>
            </w:r>
          </w:p>
        </w:tc>
        <w:tc>
          <w:tcPr>
            <w:tcW w:w="2836" w:type="dxa"/>
            <w:tcBorders/>
          </w:tcPr>
          <w:p>
            <w:pPr>
              <w:pStyle w:val="Normal"/>
              <w:spacing w:lineRule="auto" w:line="240" w:before="0" w:after="0"/>
              <w:ind w:left="34" w:right="30" w:hanging="0"/>
              <w:jc w:val="both"/>
              <w:rPr>
                <w:rFonts w:ascii="Arial" w:hAnsi="Arial" w:eastAsia="Times New Roman" w:cs="Arial"/>
                <w:sz w:val="24"/>
                <w:szCs w:val="24"/>
                <w:lang w:eastAsia="es-CL"/>
              </w:rPr>
            </w:pPr>
            <w:r>
              <w:rPr>
                <w:rFonts w:eastAsia="Times New Roman" w:cs="Arial" w:ascii="Arial" w:hAnsi="Arial"/>
                <w:sz w:val="24"/>
                <w:szCs w:val="24"/>
                <w:lang w:eastAsia="es-CL"/>
              </w:rPr>
              <w:t>Verificados los Libros de Experiencias, se evidenció que no existe el Libro de Experiencias de Combate a la Contaminación, indicándose como explicación que no han tenido incidentes de este tipo.</w:t>
            </w:r>
          </w:p>
        </w:tc>
        <w:tc>
          <w:tcPr>
            <w:tcW w:w="2836" w:type="dxa"/>
            <w:tcBorders/>
          </w:tcPr>
          <w:p>
            <w:pPr>
              <w:pStyle w:val="Normal"/>
              <w:spacing w:lineRule="auto" w:line="240" w:before="0" w:after="0"/>
              <w:ind w:left="34" w:right="30" w:hanging="0"/>
              <w:jc w:val="both"/>
              <w:rPr>
                <w:rFonts w:ascii="Arial" w:hAnsi="Arial" w:cs="Arial"/>
                <w:sz w:val="24"/>
                <w:szCs w:val="24"/>
                <w:lang w:val="es-MX"/>
              </w:rPr>
            </w:pPr>
            <w:r>
              <w:rPr>
                <w:rFonts w:cs="Arial" w:ascii="Arial" w:hAnsi="Arial"/>
                <w:sz w:val="24"/>
                <w:szCs w:val="24"/>
              </w:rPr>
              <w:t>Reglamento de Inspecciones de la Armada N° 3-20/8, anexo “5”, apéndice 6.</w:t>
            </w:r>
          </w:p>
        </w:tc>
        <w:tc>
          <w:tcPr>
            <w:tcW w:w="2127" w:type="dxa"/>
            <w:tcBorders/>
          </w:tcPr>
          <w:p>
            <w:pPr>
              <w:pStyle w:val="Normal"/>
              <w:spacing w:lineRule="auto" w:line="240" w:before="0" w:after="0"/>
              <w:ind w:right="30" w:hanging="0"/>
              <w:jc w:val="both"/>
              <w:rPr>
                <w:rFonts w:ascii="Arial" w:hAnsi="Arial" w:eastAsia="Times New Roman" w:cs="Arial"/>
                <w:sz w:val="24"/>
                <w:szCs w:val="24"/>
                <w:lang w:eastAsia="es-CL"/>
              </w:rPr>
            </w:pPr>
            <w:r>
              <w:rPr>
                <w:rFonts w:eastAsia="Times New Roman" w:cs="Arial" w:ascii="Arial" w:hAnsi="Arial"/>
                <w:sz w:val="24"/>
                <w:szCs w:val="24"/>
                <w:lang w:eastAsia="es-CL"/>
              </w:rPr>
              <w:t xml:space="preserve">Se deberá abrir un Libro de Experiencias de Contaminación, donde se registren las experiencias no sólo de los incidentes ocurridos, sino que también de los ejercicios de combate a la contaminación que se lleven a cabo. </w:t>
            </w:r>
          </w:p>
        </w:tc>
        <w:tc>
          <w:tcPr>
            <w:tcW w:w="4137" w:type="dxa"/>
            <w:tcBorders/>
          </w:tcPr>
          <w:p>
            <w:pPr>
              <w:pStyle w:val="Normal"/>
              <w:spacing w:lineRule="auto" w:line="240" w:before="0" w:after="0"/>
              <w:ind w:left="34" w:right="30" w:hanging="0"/>
              <w:jc w:val="both"/>
              <w:rPr>
                <w:rFonts w:ascii="Arial" w:hAnsi="Arial" w:eastAsia="Times New Roman" w:cs="Arial"/>
                <w:sz w:val="24"/>
                <w:szCs w:val="24"/>
                <w:lang w:eastAsia="es-CL"/>
              </w:rPr>
            </w:pPr>
            <w:r>
              <w:rPr>
                <w:rFonts w:eastAsia="Times New Roman" w:cs="Arial" w:ascii="Arial" w:hAnsi="Arial"/>
                <w:sz w:val="24"/>
                <w:szCs w:val="24"/>
                <w:lang w:eastAsia="es-CL"/>
              </w:rPr>
              <w:t>Subjefe de la repartición cuenta con Libro de experiencias donde se registran actividades para el combate a la contaminación, POLMAR y SAR. Además, se creó un libro de experiencias para registrar los acontecimientos de contaminación acuática y los ejercicios que se realizan.</w:t>
            </w:r>
          </w:p>
        </w:tc>
        <w:tc>
          <w:tcPr>
            <w:tcW w:w="246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86"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6959" w:type="dxa"/>
        <w:jc w:val="center"/>
        <w:tblInd w:w="0" w:type="dxa"/>
        <w:tblCellMar>
          <w:top w:w="0" w:type="dxa"/>
          <w:left w:w="108" w:type="dxa"/>
          <w:bottom w:w="0" w:type="dxa"/>
          <w:right w:w="108" w:type="dxa"/>
        </w:tblCellMar>
        <w:tblLook w:firstRow="1" w:noVBand="1" w:lastRow="0" w:firstColumn="1" w:lastColumn="0" w:noHBand="0" w:val="04a0"/>
      </w:tblPr>
      <w:tblGrid>
        <w:gridCol w:w="622"/>
        <w:gridCol w:w="2445"/>
        <w:gridCol w:w="2836"/>
        <w:gridCol w:w="2267"/>
        <w:gridCol w:w="4111"/>
        <w:gridCol w:w="2410"/>
        <w:gridCol w:w="2267"/>
      </w:tblGrid>
      <w:tr>
        <w:trPr>
          <w:tblHeader w:val="true"/>
        </w:trPr>
        <w:tc>
          <w:tcPr>
            <w:tcW w:w="622"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4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26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10"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267" w:type="dxa"/>
            <w:tcBorders/>
            <w:vAlign w:val="center"/>
          </w:tcPr>
          <w:p>
            <w:pPr>
              <w:pStyle w:val="Normal"/>
              <w:spacing w:lineRule="auto" w:line="240" w:before="0" w:after="0"/>
              <w:ind w:right="11" w:hanging="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4691" w:type="dxa"/>
            <w:gridSpan w:val="6"/>
            <w:tcBorders/>
            <w:vAlign w:val="center"/>
          </w:tcPr>
          <w:p>
            <w:pPr>
              <w:pStyle w:val="Normal"/>
              <w:spacing w:lineRule="auto" w:line="240" w:before="0" w:after="0"/>
              <w:jc w:val="both"/>
              <w:rPr>
                <w:rFonts w:ascii="Arial" w:hAnsi="Arial" w:cs="Arial"/>
                <w:b/>
                <w:b/>
                <w:sz w:val="16"/>
                <w:szCs w:val="16"/>
                <w:highlight w:val="yellow"/>
                <w:lang w:val="es-MX"/>
              </w:rPr>
            </w:pPr>
            <w:r>
              <w:rPr>
                <w:rFonts w:cs="Arial" w:ascii="Arial" w:hAnsi="Arial"/>
                <w:b/>
                <w:sz w:val="16"/>
                <w:szCs w:val="16"/>
                <w:highlight w:val="yellow"/>
                <w:lang w:val="es-MX"/>
              </w:rPr>
            </w:r>
          </w:p>
          <w:p>
            <w:pPr>
              <w:pStyle w:val="Normal"/>
              <w:spacing w:lineRule="auto" w:line="240" w:before="0" w:after="0"/>
              <w:jc w:val="both"/>
              <w:rPr>
                <w:rFonts w:ascii="Arial" w:hAnsi="Arial" w:cs="Arial"/>
                <w:b/>
                <w:b/>
                <w:sz w:val="16"/>
                <w:szCs w:val="16"/>
                <w:highlight w:val="yellow"/>
                <w:lang w:val="es-MX"/>
              </w:rPr>
            </w:pPr>
            <w:r>
              <w:rPr>
                <w:rFonts w:eastAsia="Times New Roman" w:cs="Arial" w:ascii="Arial" w:hAnsi="Arial"/>
                <w:b/>
                <w:bCs/>
                <w:sz w:val="24"/>
                <w:szCs w:val="24"/>
                <w:lang w:eastAsia="es-CL"/>
              </w:rPr>
              <w:t>3.- JEFATURA DEPTO. SEGURIDAD Y OPERACIONES MARÍTIMAS.</w:t>
            </w:r>
          </w:p>
        </w:tc>
        <w:tc>
          <w:tcPr>
            <w:tcW w:w="2267" w:type="dxa"/>
            <w:tcBorders/>
          </w:tcPr>
          <w:p>
            <w:pPr>
              <w:pStyle w:val="Normal"/>
              <w:spacing w:lineRule="auto" w:line="240" w:before="0" w:after="0"/>
              <w:ind w:right="-693" w:hanging="0"/>
              <w:jc w:val="both"/>
              <w:rPr>
                <w:rFonts w:ascii="Arial" w:hAnsi="Arial" w:cs="Arial"/>
                <w:b/>
                <w:b/>
                <w:sz w:val="16"/>
                <w:szCs w:val="16"/>
                <w:highlight w:val="yellow"/>
                <w:lang w:val="es-MX"/>
              </w:rPr>
            </w:pPr>
            <w:r>
              <w:rPr>
                <w:rFonts w:cs="Arial" w:ascii="Arial" w:hAnsi="Arial"/>
                <w:b/>
                <w:sz w:val="16"/>
                <w:szCs w:val="16"/>
                <w:highlight w:val="yellow"/>
                <w:lang w:val="es-MX"/>
              </w:rPr>
            </w:r>
          </w:p>
        </w:tc>
      </w:tr>
      <w:tr>
        <w:trPr>
          <w:tblHeader w:val="true"/>
        </w:trPr>
        <w:tc>
          <w:tcPr>
            <w:tcW w:w="622"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p>
            <w:pPr>
              <w:pStyle w:val="Normal"/>
              <w:spacing w:lineRule="auto" w:line="240" w:before="0" w:after="0"/>
              <w:jc w:val="center"/>
              <w:rPr>
                <w:rFonts w:ascii="Arial" w:hAnsi="Arial" w:cs="Arial"/>
                <w:sz w:val="24"/>
                <w:szCs w:val="24"/>
                <w:highlight w:val="yellow"/>
                <w:lang w:val="es-MX"/>
              </w:rPr>
            </w:pPr>
            <w:r>
              <w:rPr>
                <w:rFonts w:cs="Arial" w:ascii="Arial" w:hAnsi="Arial"/>
                <w:sz w:val="24"/>
                <w:szCs w:val="24"/>
                <w:highlight w:val="yellow"/>
                <w:lang w:val="es-MX"/>
              </w:rPr>
            </w:r>
          </w:p>
          <w:p>
            <w:pPr>
              <w:pStyle w:val="Normal"/>
              <w:spacing w:lineRule="auto" w:line="240" w:before="0" w:after="0"/>
              <w:jc w:val="center"/>
              <w:rPr>
                <w:rFonts w:ascii="Arial" w:hAnsi="Arial" w:cs="Arial"/>
                <w:sz w:val="24"/>
                <w:szCs w:val="24"/>
                <w:highlight w:val="yellow"/>
                <w:lang w:val="es-MX"/>
              </w:rPr>
            </w:pPr>
            <w:r>
              <w:rPr>
                <w:rFonts w:cs="Arial" w:ascii="Arial" w:hAnsi="Arial"/>
                <w:sz w:val="24"/>
                <w:szCs w:val="24"/>
                <w:highlight w:val="yellow"/>
                <w:lang w:val="es-MX"/>
              </w:rPr>
            </w:r>
          </w:p>
        </w:tc>
        <w:tc>
          <w:tcPr>
            <w:tcW w:w="2445" w:type="dxa"/>
            <w:tcBorders/>
          </w:tcPr>
          <w:p>
            <w:pPr>
              <w:pStyle w:val="Normal"/>
              <w:spacing w:lineRule="auto" w:line="240" w:before="0" w:after="0"/>
              <w:ind w:left="35" w:hanging="0"/>
              <w:jc w:val="both"/>
              <w:rPr>
                <w:rFonts w:ascii="Arial" w:hAnsi="Arial" w:eastAsia="Times New Roman" w:cs="Arial"/>
                <w:bCs/>
                <w:sz w:val="24"/>
                <w:szCs w:val="24"/>
                <w:lang w:eastAsia="es-CL"/>
              </w:rPr>
            </w:pPr>
            <w:r>
              <w:rPr>
                <w:rFonts w:eastAsia="Times New Roman" w:cs="Arial" w:ascii="Arial" w:hAnsi="Arial"/>
                <w:bCs/>
                <w:sz w:val="24"/>
                <w:szCs w:val="24"/>
                <w:lang w:val="es-MX" w:eastAsia="es-CL"/>
              </w:rPr>
              <w:t>S</w:t>
            </w:r>
            <w:r>
              <w:rPr>
                <w:rFonts w:eastAsia="Times New Roman" w:cs="Arial" w:ascii="Arial" w:hAnsi="Arial"/>
                <w:bCs/>
                <w:sz w:val="24"/>
                <w:szCs w:val="24"/>
                <w:lang w:eastAsia="es-CL"/>
              </w:rPr>
              <w:t>e evidenció que no existe acta de entrega  del encargado de la División Policía Marítima.</w:t>
            </w:r>
          </w:p>
          <w:p>
            <w:pPr>
              <w:pStyle w:val="Normal"/>
              <w:spacing w:lineRule="auto" w:line="240" w:before="0" w:after="0"/>
              <w:ind w:left="35" w:hanging="0"/>
              <w:jc w:val="center"/>
              <w:rPr>
                <w:rFonts w:ascii="Arial" w:hAnsi="Arial" w:eastAsia="Times New Roman" w:cs="Arial"/>
                <w:bCs/>
                <w:sz w:val="24"/>
                <w:szCs w:val="24"/>
                <w:lang w:eastAsia="es-CL"/>
              </w:rPr>
            </w:pPr>
            <w:r>
              <w:rPr>
                <w:rFonts w:eastAsia="Times New Roman" w:cs="Arial" w:ascii="Arial" w:hAnsi="Arial"/>
                <w:bCs/>
                <w:sz w:val="24"/>
                <w:szCs w:val="24"/>
                <w:lang w:eastAsia="es-CL"/>
              </w:rPr>
            </w:r>
          </w:p>
          <w:p>
            <w:pPr>
              <w:pStyle w:val="Normal"/>
              <w:spacing w:lineRule="auto" w:line="240" w:before="0" w:after="0"/>
              <w:ind w:left="35" w:hanging="0"/>
              <w:jc w:val="center"/>
              <w:rPr>
                <w:rFonts w:ascii="Arial" w:hAnsi="Arial" w:cs="Arial"/>
                <w:b/>
                <w:b/>
                <w:sz w:val="24"/>
                <w:szCs w:val="24"/>
              </w:rPr>
            </w:pPr>
            <w:r>
              <w:rPr>
                <w:rFonts w:cs="Arial" w:ascii="Arial" w:hAnsi="Arial"/>
                <w:b/>
                <w:sz w:val="24"/>
                <w:szCs w:val="24"/>
              </w:rPr>
            </w:r>
          </w:p>
          <w:p>
            <w:pPr>
              <w:pStyle w:val="Normal"/>
              <w:spacing w:lineRule="auto" w:line="240" w:before="0" w:after="0"/>
              <w:ind w:left="35" w:hanging="0"/>
              <w:jc w:val="center"/>
              <w:rPr>
                <w:b/>
                <w:b/>
              </w:rPr>
            </w:pPr>
            <w:r>
              <w:rPr>
                <w:b/>
              </w:rPr>
            </w:r>
          </w:p>
        </w:tc>
        <w:tc>
          <w:tcPr>
            <w:tcW w:w="2836" w:type="dxa"/>
            <w:tcBorders/>
          </w:tcPr>
          <w:p>
            <w:pPr>
              <w:pStyle w:val="Prrafodelista1"/>
              <w:numPr>
                <w:ilvl w:val="0"/>
                <w:numId w:val="1"/>
              </w:numPr>
              <w:spacing w:lineRule="auto" w:line="240" w:before="0" w:after="0"/>
              <w:ind w:left="460" w:hanging="425"/>
              <w:contextualSpacing/>
              <w:jc w:val="both"/>
              <w:rPr>
                <w:rFonts w:ascii="Arial" w:hAnsi="Arial" w:cs="Arial"/>
                <w:sz w:val="24"/>
                <w:szCs w:val="24"/>
                <w:lang w:val="es-MX"/>
              </w:rPr>
            </w:pPr>
            <w:r>
              <w:rPr>
                <w:rFonts w:cs="Arial" w:ascii="Arial" w:hAnsi="Arial"/>
                <w:sz w:val="24"/>
                <w:szCs w:val="24"/>
                <w:lang w:val="es-MX"/>
              </w:rPr>
              <w:t xml:space="preserve">Resol. N° 6560/1, de fecha 26 de enero de 2011, Manual de Organización y Funcionamiento de las Gobernaciones Marítimas y Capitanías de Puerto. </w:t>
            </w:r>
          </w:p>
          <w:p>
            <w:pPr>
              <w:pStyle w:val="Prrafodelista1"/>
              <w:numPr>
                <w:ilvl w:val="0"/>
                <w:numId w:val="1"/>
              </w:numPr>
              <w:spacing w:lineRule="auto" w:line="240" w:before="0" w:after="0"/>
              <w:ind w:left="460" w:hanging="360"/>
              <w:contextualSpacing/>
              <w:jc w:val="both"/>
              <w:rPr>
                <w:rFonts w:ascii="Arial" w:hAnsi="Arial" w:cs="Arial"/>
                <w:sz w:val="24"/>
                <w:szCs w:val="24"/>
                <w:lang w:val="es-MX"/>
              </w:rPr>
            </w:pPr>
            <w:r>
              <w:rPr>
                <w:rFonts w:cs="Arial" w:ascii="Arial" w:hAnsi="Arial"/>
                <w:sz w:val="24"/>
                <w:szCs w:val="24"/>
                <w:lang w:val="es-MX"/>
              </w:rPr>
              <w:t>Formulario Revista de inspección Depto. de Seguridad y Operaciones Marítimas, Div. Policía Marítima, punto I, letra B.</w:t>
            </w:r>
          </w:p>
          <w:p>
            <w:pPr>
              <w:pStyle w:val="Prrafodelista1"/>
              <w:numPr>
                <w:ilvl w:val="0"/>
                <w:numId w:val="1"/>
              </w:numPr>
              <w:spacing w:lineRule="auto" w:line="240" w:before="0" w:after="0"/>
              <w:ind w:left="460" w:hanging="360"/>
              <w:contextualSpacing/>
              <w:jc w:val="both"/>
              <w:rPr>
                <w:rFonts w:ascii="Arial" w:hAnsi="Arial" w:cs="Arial"/>
                <w:sz w:val="24"/>
                <w:szCs w:val="24"/>
                <w:lang w:val="es-MX"/>
              </w:rPr>
            </w:pPr>
            <w:r>
              <w:rPr>
                <w:rFonts w:cs="Arial" w:ascii="Arial" w:hAnsi="Arial"/>
                <w:sz w:val="24"/>
                <w:szCs w:val="24"/>
                <w:lang w:val="es-MX"/>
              </w:rPr>
              <w:t>Reglamento 7-20/7 de Actas de Entrega.</w:t>
            </w:r>
          </w:p>
        </w:tc>
        <w:tc>
          <w:tcPr>
            <w:tcW w:w="2267" w:type="dxa"/>
            <w:tcBorders/>
          </w:tcPr>
          <w:p>
            <w:pPr>
              <w:pStyle w:val="Prrafodelista1"/>
              <w:numPr>
                <w:ilvl w:val="0"/>
                <w:numId w:val="2"/>
              </w:numPr>
              <w:spacing w:lineRule="auto" w:line="240" w:before="0" w:after="0"/>
              <w:ind w:left="456" w:hanging="426"/>
              <w:contextualSpacing/>
              <w:jc w:val="both"/>
              <w:rPr>
                <w:rFonts w:ascii="Arial" w:hAnsi="Arial" w:cs="Arial"/>
                <w:sz w:val="24"/>
                <w:szCs w:val="24"/>
                <w:lang w:val="es-MX"/>
              </w:rPr>
            </w:pPr>
            <w:r>
              <w:rPr>
                <w:rFonts w:cs="Arial" w:ascii="Arial" w:hAnsi="Arial"/>
                <w:sz w:val="24"/>
                <w:szCs w:val="24"/>
                <w:lang w:val="es-MX"/>
              </w:rPr>
              <w:t>Dar cumplimiento a lo señalado en el art. 902° del Manual de Organización y Funcionamiento de las Gobernaciones Marítimas y Capitanías de Puerto.</w:t>
            </w:r>
          </w:p>
          <w:p>
            <w:pPr>
              <w:pStyle w:val="Prrafodelista1"/>
              <w:numPr>
                <w:ilvl w:val="0"/>
                <w:numId w:val="2"/>
              </w:numPr>
              <w:spacing w:lineRule="auto" w:line="240" w:before="0" w:after="0"/>
              <w:ind w:left="459" w:hanging="426"/>
              <w:contextualSpacing/>
              <w:jc w:val="both"/>
              <w:rPr>
                <w:lang w:val="es-MX"/>
              </w:rPr>
            </w:pPr>
            <w:r>
              <w:rPr>
                <w:rFonts w:cs="Arial" w:ascii="Arial" w:hAnsi="Arial"/>
                <w:sz w:val="24"/>
                <w:szCs w:val="24"/>
                <w:lang w:val="es-MX"/>
              </w:rPr>
              <w:t xml:space="preserve">Informar motivos de la no existencia del acta de entrega correspondiente. </w:t>
            </w:r>
          </w:p>
          <w:p>
            <w:pPr>
              <w:pStyle w:val="Prrafodelista1"/>
              <w:numPr>
                <w:ilvl w:val="0"/>
                <w:numId w:val="2"/>
              </w:numPr>
              <w:spacing w:lineRule="auto" w:line="240" w:before="0" w:after="0"/>
              <w:ind w:left="459" w:hanging="426"/>
              <w:contextualSpacing/>
              <w:jc w:val="both"/>
              <w:rPr>
                <w:lang w:val="es-MX"/>
              </w:rPr>
            </w:pPr>
            <w:r>
              <w:rPr>
                <w:rFonts w:cs="Arial" w:ascii="Arial" w:hAnsi="Arial"/>
                <w:sz w:val="24"/>
                <w:szCs w:val="24"/>
                <w:lang w:val="es-MX"/>
              </w:rPr>
              <w:t>Remitir copia del acta de entrega de la división.</w:t>
            </w:r>
          </w:p>
          <w:p>
            <w:pPr>
              <w:pStyle w:val="Normal"/>
              <w:spacing w:lineRule="auto" w:line="240" w:before="0" w:after="0"/>
              <w:ind w:right="30" w:hanging="0"/>
              <w:jc w:val="both"/>
              <w:rPr>
                <w:rFonts w:ascii="Arial" w:hAnsi="Arial" w:eastAsia="Times New Roman" w:cs="Arial"/>
                <w:sz w:val="24"/>
                <w:szCs w:val="24"/>
                <w:lang w:val="es-MX" w:eastAsia="es-CL"/>
              </w:rPr>
            </w:pPr>
            <w:r>
              <w:rPr>
                <w:rFonts w:eastAsia="Times New Roman" w:cs="Arial" w:ascii="Arial" w:hAnsi="Arial"/>
                <w:sz w:val="24"/>
                <w:szCs w:val="24"/>
                <w:lang w:val="es-MX" w:eastAsia="es-CL"/>
              </w:rPr>
            </w:r>
          </w:p>
        </w:tc>
        <w:tc>
          <w:tcPr>
            <w:tcW w:w="4111" w:type="dxa"/>
            <w:tcBorders/>
          </w:tcPr>
          <w:p>
            <w:pPr>
              <w:pStyle w:val="Western"/>
              <w:numPr>
                <w:ilvl w:val="0"/>
                <w:numId w:val="4"/>
              </w:numPr>
              <w:spacing w:lineRule="auto" w:line="240" w:beforeAutospacing="1" w:after="0"/>
              <w:ind w:left="459" w:hanging="425"/>
              <w:jc w:val="both"/>
              <w:rPr>
                <w:rFonts w:ascii="Arial" w:hAnsi="Arial" w:eastAsia="Times New Roman" w:cs="Arial"/>
                <w:sz w:val="24"/>
                <w:szCs w:val="24"/>
                <w:lang w:val="es-CL" w:eastAsia="es-CL"/>
              </w:rPr>
            </w:pPr>
            <w:r>
              <w:rPr>
                <w:rFonts w:cs="Arial" w:ascii="Arial" w:hAnsi="Arial"/>
                <w:color w:val="000000"/>
                <w:sz w:val="24"/>
                <w:szCs w:val="24"/>
                <w:lang w:val="es-MX"/>
              </w:rPr>
              <w:t>Por resolución C.P. CHB. N° 6030/448, 30 de abril de 2021, se designó como Jefe de la División de Policía Marítima al S2 L (Seg. M.) J. URIBE M., dando cumplimiento al art. 902°, del Manual de Organización y Funcionamiento de las Gobernaciones Marítimas y Capitanías de Puerto.</w:t>
            </w:r>
          </w:p>
          <w:p>
            <w:pPr>
              <w:pStyle w:val="Western"/>
              <w:numPr>
                <w:ilvl w:val="0"/>
                <w:numId w:val="4"/>
              </w:numPr>
              <w:spacing w:lineRule="auto" w:line="240" w:before="0" w:after="0"/>
              <w:ind w:left="459" w:hanging="425"/>
              <w:jc w:val="both"/>
              <w:rPr>
                <w:rFonts w:ascii="Arial" w:hAnsi="Arial" w:eastAsia="Times New Roman" w:cs="Arial"/>
                <w:sz w:val="24"/>
                <w:szCs w:val="24"/>
                <w:lang w:val="es-CL" w:eastAsia="es-CL"/>
              </w:rPr>
            </w:pPr>
            <w:r>
              <w:rPr>
                <w:rFonts w:cs="Arial" w:ascii="Arial" w:hAnsi="Arial"/>
                <w:color w:val="000000"/>
                <w:sz w:val="24"/>
                <w:szCs w:val="24"/>
                <w:lang w:val="es-MX"/>
              </w:rPr>
              <w:t xml:space="preserve">La no existencia del Acta de Entrega se debió a que el encargado anterior, S1 L. (Mn.) J. APABLAZA C., se encontraba en proceso de entrega del cargo, por solicitud de retiro de la Institución. </w:t>
            </w:r>
          </w:p>
          <w:p>
            <w:pPr>
              <w:pStyle w:val="ListParagraph"/>
              <w:numPr>
                <w:ilvl w:val="0"/>
                <w:numId w:val="4"/>
              </w:numPr>
              <w:spacing w:lineRule="auto" w:line="240" w:before="0" w:after="0"/>
              <w:ind w:left="459" w:hanging="425"/>
              <w:contextualSpacing/>
              <w:jc w:val="both"/>
              <w:rPr>
                <w:rFonts w:ascii="Arial" w:hAnsi="Arial" w:cs="Arial"/>
                <w:b/>
                <w:b/>
                <w:sz w:val="24"/>
                <w:szCs w:val="24"/>
                <w:lang w:val="es-MX"/>
              </w:rPr>
            </w:pPr>
            <w:r>
              <w:rPr>
                <w:rFonts w:cs="Arial" w:ascii="Arial" w:hAnsi="Arial"/>
                <w:color w:val="000000"/>
                <w:sz w:val="24"/>
                <w:szCs w:val="24"/>
                <w:lang w:val="es-MX"/>
              </w:rPr>
              <w:t xml:space="preserve">Se adjunta en anexo “E”, Acta de </w:t>
            </w:r>
            <w:r>
              <w:rPr>
                <w:rFonts w:cs="Arial" w:ascii="Arial" w:hAnsi="Arial"/>
                <w:color w:val="000000"/>
                <w:sz w:val="24"/>
                <w:szCs w:val="24"/>
              </w:rPr>
              <w:t>E</w:t>
            </w:r>
            <w:r>
              <w:rPr>
                <w:rFonts w:cs="Arial" w:ascii="Arial" w:hAnsi="Arial"/>
                <w:color w:val="000000"/>
                <w:sz w:val="24"/>
                <w:szCs w:val="24"/>
                <w:lang w:val="es-MX"/>
              </w:rPr>
              <w:t>ntrega del Jefe de la División de Policía Marítima, de fecha 5 de mayo de 2021</w:t>
            </w:r>
            <w:r>
              <w:rPr>
                <w:rFonts w:cs="Arial" w:ascii="Arial" w:hAnsi="Arial"/>
                <w:color w:val="000000"/>
                <w:sz w:val="24"/>
                <w:szCs w:val="24"/>
              </w:rPr>
              <w:t>.</w:t>
            </w:r>
          </w:p>
        </w:tc>
        <w:tc>
          <w:tcPr>
            <w:tcW w:w="2410"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267" w:type="dxa"/>
            <w:tcBorders/>
          </w:tcPr>
          <w:p>
            <w:pPr>
              <w:pStyle w:val="Normal"/>
              <w:spacing w:lineRule="auto" w:line="240" w:before="0" w:after="0"/>
              <w:ind w:right="-693" w:hanging="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6947" w:type="dxa"/>
        <w:jc w:val="center"/>
        <w:tblInd w:w="0" w:type="dxa"/>
        <w:tblCellMar>
          <w:top w:w="0" w:type="dxa"/>
          <w:left w:w="108" w:type="dxa"/>
          <w:bottom w:w="0" w:type="dxa"/>
          <w:right w:w="108" w:type="dxa"/>
        </w:tblCellMar>
        <w:tblLook w:firstRow="1" w:noVBand="1" w:lastRow="0" w:firstColumn="1" w:lastColumn="0" w:noHBand="0" w:val="04a0"/>
      </w:tblPr>
      <w:tblGrid>
        <w:gridCol w:w="567"/>
        <w:gridCol w:w="2488"/>
        <w:gridCol w:w="2835"/>
        <w:gridCol w:w="2580"/>
        <w:gridCol w:w="3799"/>
        <w:gridCol w:w="2410"/>
        <w:gridCol w:w="2267"/>
      </w:tblGrid>
      <w:tr>
        <w:trPr>
          <w:tblHeader w:val="true"/>
        </w:trPr>
        <w:tc>
          <w:tcPr>
            <w:tcW w:w="56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8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58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79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10"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26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567"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b)</w:t>
            </w:r>
          </w:p>
        </w:tc>
        <w:tc>
          <w:tcPr>
            <w:tcW w:w="2488"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la planificación de la operación de la LPM-4411 es efectuada por el Patrón de la embarcación y no por el Capitán de Puerto a través del Departamento de Operaciones.</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835" w:type="dxa"/>
            <w:tcBorders/>
          </w:tcPr>
          <w:p>
            <w:pPr>
              <w:pStyle w:val="Normal"/>
              <w:spacing w:lineRule="auto" w:line="240" w:before="0" w:after="0"/>
              <w:jc w:val="both"/>
              <w:rPr>
                <w:rFonts w:ascii="Arial" w:hAnsi="Arial" w:cs="Arial"/>
                <w:sz w:val="24"/>
                <w:szCs w:val="24"/>
              </w:rPr>
            </w:pPr>
            <w:r>
              <w:rPr>
                <w:rFonts w:cs="Arial" w:ascii="Arial" w:hAnsi="Arial"/>
                <w:sz w:val="24"/>
                <w:szCs w:val="24"/>
              </w:rPr>
              <w:t>Resol. N° 6560/1, de fecha 26 de enero de 2011, Manual de Organización y Funcionamiento de Gobernaciones Marítimas y Capitanías de Puerto, arts. 1010° letra J.-, 1011° y 1014° letra A.-.</w:t>
            </w:r>
          </w:p>
        </w:tc>
        <w:tc>
          <w:tcPr>
            <w:tcW w:w="2580" w:type="dxa"/>
            <w:tcBorders/>
          </w:tcPr>
          <w:p>
            <w:pPr>
              <w:pStyle w:val="Prrafodelista1"/>
              <w:numPr>
                <w:ilvl w:val="0"/>
                <w:numId w:val="3"/>
              </w:numPr>
              <w:spacing w:lineRule="auto" w:line="240" w:before="0" w:after="0"/>
              <w:ind w:left="459" w:hanging="426"/>
              <w:contextualSpacing/>
              <w:jc w:val="both"/>
              <w:rPr>
                <w:rFonts w:ascii="Arial" w:hAnsi="Arial" w:cs="Arial"/>
                <w:sz w:val="24"/>
                <w:szCs w:val="24"/>
                <w:lang w:eastAsia="es-CL"/>
              </w:rPr>
            </w:pPr>
            <w:r>
              <w:rPr>
                <w:rFonts w:cs="Arial" w:ascii="Arial" w:hAnsi="Arial"/>
                <w:sz w:val="24"/>
                <w:szCs w:val="24"/>
                <w:lang w:eastAsia="es-CL"/>
              </w:rPr>
              <w:t>El Departamento de Operaciones, a través de la División Medios a Flote de Patrullaje Marítimo, debe efectuar la planificación diaria, semanal, mensual y anual de operación de la embarcación asignada, de acuerdo a la realidad jurisdiccional y para el cumplimiento de las metas dispuestas para la Capitanía de Puerto.</w:t>
            </w:r>
          </w:p>
          <w:p>
            <w:pPr>
              <w:pStyle w:val="Prrafodelista1"/>
              <w:numPr>
                <w:ilvl w:val="0"/>
                <w:numId w:val="3"/>
              </w:numPr>
              <w:spacing w:lineRule="auto" w:line="240" w:before="0" w:after="0"/>
              <w:ind w:left="459" w:hanging="426"/>
              <w:contextualSpacing/>
              <w:jc w:val="both"/>
              <w:rPr>
                <w:rFonts w:ascii="Arial" w:hAnsi="Arial" w:cs="Arial"/>
                <w:sz w:val="24"/>
                <w:szCs w:val="24"/>
              </w:rPr>
            </w:pPr>
            <w:r>
              <w:rPr>
                <w:rFonts w:cs="Arial" w:ascii="Arial" w:hAnsi="Arial"/>
                <w:sz w:val="24"/>
                <w:szCs w:val="24"/>
              </w:rPr>
              <w:t>Informar motivos de la no participación del Departamento de Operaciones en la planificación de la unidad.</w:t>
            </w:r>
          </w:p>
        </w:tc>
        <w:tc>
          <w:tcPr>
            <w:tcW w:w="3799" w:type="dxa"/>
            <w:tcBorders/>
          </w:tcPr>
          <w:p>
            <w:pPr>
              <w:pStyle w:val="NormalWeb"/>
              <w:numPr>
                <w:ilvl w:val="0"/>
                <w:numId w:val="5"/>
              </w:numPr>
              <w:spacing w:lineRule="auto" w:line="252" w:before="0" w:after="0"/>
              <w:ind w:left="459" w:hanging="425"/>
              <w:jc w:val="both"/>
              <w:rPr>
                <w:rFonts w:ascii="Arial" w:hAnsi="Arial" w:cs="Arial"/>
                <w:color w:val="000000"/>
                <w:lang w:eastAsia="zh-CN" w:bidi="ar"/>
              </w:rPr>
            </w:pPr>
            <w:r>
              <w:rPr>
                <w:rFonts w:cs="Arial" w:ascii="Arial" w:hAnsi="Arial"/>
                <w:color w:val="000000"/>
                <w:lang w:eastAsia="zh-CN" w:bidi="ar"/>
              </w:rPr>
              <w:t>Actualmente el Departamento de Operaciones, a través de la División Medios a Flote de Patrullaje Marítimo, efectúa la planificación diaria, semanal, mensual y anual de operación de la Unidad Marítima LPM-4411, para el cumplimiento de las metas dispuestas.</w:t>
            </w:r>
          </w:p>
          <w:p>
            <w:pPr>
              <w:pStyle w:val="NormalWeb"/>
              <w:numPr>
                <w:ilvl w:val="0"/>
                <w:numId w:val="5"/>
              </w:numPr>
              <w:spacing w:lineRule="auto" w:line="240" w:beforeAutospacing="0" w:before="280" w:after="0"/>
              <w:ind w:left="459" w:hanging="425"/>
              <w:jc w:val="both"/>
              <w:rPr>
                <w:color w:val="000000"/>
              </w:rPr>
            </w:pPr>
            <w:r>
              <w:rPr>
                <w:rFonts w:cs="Arial" w:ascii="Arial" w:hAnsi="Arial"/>
                <w:color w:val="000000"/>
                <w:lang w:eastAsia="zh-CN" w:bidi="ar"/>
              </w:rPr>
              <w:t xml:space="preserve">Se realizó la planificación de la Unidad, considerando la experiencia del patrón de la Unidad Marítima LPM-4411, con el propósito de optimizar las tareas de fiscalización. </w:t>
            </w:r>
          </w:p>
          <w:p>
            <w:pPr>
              <w:pStyle w:val="Normal"/>
              <w:spacing w:lineRule="auto" w:line="240" w:before="0" w:after="0"/>
              <w:jc w:val="both"/>
              <w:rPr>
                <w:rFonts w:ascii="Arial" w:hAnsi="Arial" w:cs="Arial"/>
                <w:b/>
                <w:b/>
                <w:sz w:val="24"/>
                <w:szCs w:val="24"/>
              </w:rPr>
            </w:pPr>
            <w:r>
              <w:rPr>
                <w:rFonts w:cs="Arial" w:ascii="Arial" w:hAnsi="Arial"/>
                <w:b/>
                <w:sz w:val="24"/>
                <w:szCs w:val="24"/>
              </w:rPr>
            </w:r>
          </w:p>
        </w:tc>
        <w:tc>
          <w:tcPr>
            <w:tcW w:w="2410"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26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6879" w:type="dxa"/>
        <w:jc w:val="center"/>
        <w:tblInd w:w="0" w:type="dxa"/>
        <w:tblCellMar>
          <w:top w:w="0" w:type="dxa"/>
          <w:left w:w="108" w:type="dxa"/>
          <w:bottom w:w="0" w:type="dxa"/>
          <w:right w:w="108" w:type="dxa"/>
        </w:tblCellMar>
        <w:tblLook w:firstRow="1" w:noVBand="1" w:lastRow="0" w:firstColumn="1" w:lastColumn="0" w:noHBand="0" w:val="04a0"/>
      </w:tblPr>
      <w:tblGrid>
        <w:gridCol w:w="435"/>
        <w:gridCol w:w="3040"/>
        <w:gridCol w:w="2365"/>
        <w:gridCol w:w="2675"/>
        <w:gridCol w:w="3686"/>
        <w:gridCol w:w="2409"/>
        <w:gridCol w:w="2268"/>
      </w:tblGrid>
      <w:tr>
        <w:trPr>
          <w:tblHeader w:val="true"/>
        </w:trPr>
        <w:tc>
          <w:tcPr>
            <w:tcW w:w="435"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04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36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67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68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9"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26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4610" w:type="dxa"/>
            <w:gridSpan w:val="6"/>
            <w:tcBorders/>
            <w:vAlign w:val="center"/>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p>
            <w:pPr>
              <w:pStyle w:val="Normal"/>
              <w:spacing w:lineRule="auto" w:line="240" w:before="0" w:after="0"/>
              <w:jc w:val="both"/>
              <w:rPr>
                <w:rFonts w:ascii="Arial" w:hAnsi="Arial" w:cs="Arial"/>
                <w:b/>
                <w:b/>
                <w:sz w:val="16"/>
                <w:szCs w:val="16"/>
              </w:rPr>
            </w:pPr>
            <w:r>
              <w:rPr>
                <w:rFonts w:eastAsia="Times New Roman" w:cs="Arial" w:ascii="Arial" w:hAnsi="Arial"/>
                <w:b/>
                <w:bCs/>
                <w:sz w:val="24"/>
                <w:szCs w:val="24"/>
                <w:lang w:eastAsia="es-CL"/>
              </w:rPr>
              <w:t xml:space="preserve">División </w:t>
            </w:r>
            <w:r>
              <w:rPr>
                <w:rFonts w:eastAsia="Times New Roman" w:cs="Arial" w:ascii="Arial" w:hAnsi="Arial"/>
                <w:b/>
                <w:bCs/>
                <w:color w:val="000000"/>
                <w:sz w:val="24"/>
                <w:szCs w:val="24"/>
                <w:lang w:eastAsia="es-CL"/>
              </w:rPr>
              <w:t>Medios a Flote de Patrullaje Marítimo</w:t>
            </w:r>
            <w:r>
              <w:rPr>
                <w:rFonts w:eastAsia="Times New Roman" w:cs="Arial" w:ascii="Arial" w:hAnsi="Arial"/>
                <w:b/>
                <w:bCs/>
                <w:sz w:val="24"/>
                <w:szCs w:val="24"/>
                <w:lang w:eastAsia="es-CL"/>
              </w:rPr>
              <w:t>.</w:t>
            </w:r>
          </w:p>
        </w:tc>
        <w:tc>
          <w:tcPr>
            <w:tcW w:w="2268" w:type="dxa"/>
            <w:tcBorders/>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tc>
      </w:tr>
      <w:tr>
        <w:trPr>
          <w:tblHeader w:val="true"/>
          <w:trHeight w:val="4354" w:hRule="atLeast"/>
        </w:trPr>
        <w:tc>
          <w:tcPr>
            <w:tcW w:w="435"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a)</w:t>
            </w:r>
          </w:p>
        </w:tc>
        <w:tc>
          <w:tcPr>
            <w:tcW w:w="304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 xml:space="preserve">Se evidenció que a la fecha de la inspección, la LPM- 4411 se encontraba con un avance en el consumo de combustible de un 65%. Lo anterior, debido a una disminución en su asignación y al aumento de las horas de operación en relación a lo planificado mensualmente, lo que se estima repercutirá negativamente entre otras tareas de fiscalización, en la capacidad de inspeccionar las CC.MM. y centros de cultivo existentes en la jurisdicción y que solo puede ser realizada por vía marítima (Cumplimiento del Plan Nacional de Fiscalización de Concesiones Marítimas y detección de ocupaciones ilegales). </w:t>
            </w:r>
          </w:p>
        </w:tc>
        <w:tc>
          <w:tcPr>
            <w:tcW w:w="2365" w:type="dxa"/>
            <w:tcBorders/>
          </w:tcPr>
          <w:p>
            <w:pPr>
              <w:pStyle w:val="Prrafodelista1"/>
              <w:numPr>
                <w:ilvl w:val="0"/>
                <w:numId w:val="6"/>
              </w:numPr>
              <w:spacing w:lineRule="auto" w:line="240" w:before="0" w:after="0"/>
              <w:contextualSpacing/>
              <w:jc w:val="both"/>
              <w:rPr>
                <w:rFonts w:ascii="Arial" w:hAnsi="Arial" w:cs="Arial"/>
                <w:sz w:val="24"/>
                <w:szCs w:val="24"/>
                <w:lang w:val="es-MX"/>
              </w:rPr>
            </w:pPr>
            <w:r>
              <w:rPr>
                <w:rFonts w:cs="Arial" w:ascii="Arial" w:hAnsi="Arial"/>
                <w:sz w:val="24"/>
                <w:szCs w:val="24"/>
                <w:lang w:val="es-MX"/>
              </w:rPr>
              <w:t xml:space="preserve">Resol. N° 6560/1, de fecha 26 de enero de 2011, Manual de Organización y Funcionamiento de las Gobernaciones Marítimas y Capitanías de Puerto. </w:t>
            </w:r>
          </w:p>
          <w:p>
            <w:pPr>
              <w:pStyle w:val="Prrafodelista1"/>
              <w:numPr>
                <w:ilvl w:val="0"/>
                <w:numId w:val="6"/>
              </w:numPr>
              <w:spacing w:lineRule="auto" w:line="240" w:before="0" w:after="0"/>
              <w:contextualSpacing/>
              <w:jc w:val="both"/>
              <w:rPr>
                <w:rFonts w:ascii="Arial" w:hAnsi="Arial" w:cs="Arial"/>
                <w:sz w:val="24"/>
                <w:szCs w:val="24"/>
              </w:rPr>
            </w:pPr>
            <w:r>
              <w:rPr>
                <w:rFonts w:cs="Arial" w:ascii="Arial" w:hAnsi="Arial"/>
                <w:sz w:val="24"/>
                <w:szCs w:val="24"/>
                <w:lang w:val="es-MX"/>
              </w:rPr>
              <w:t>Formulario Revista de Inspección de Seguridad y Operaciones Marítimas, punto II, letra E.-.</w:t>
            </w:r>
          </w:p>
          <w:p>
            <w:pPr>
              <w:pStyle w:val="Prrafodelista1"/>
              <w:numPr>
                <w:ilvl w:val="0"/>
                <w:numId w:val="6"/>
              </w:numPr>
              <w:spacing w:lineRule="auto" w:line="240" w:before="0" w:after="0"/>
              <w:contextualSpacing/>
              <w:jc w:val="both"/>
              <w:rPr>
                <w:rFonts w:ascii="Arial" w:hAnsi="Arial" w:cs="Arial"/>
                <w:sz w:val="24"/>
                <w:szCs w:val="24"/>
                <w:lang w:val="es-MX"/>
              </w:rPr>
            </w:pPr>
            <w:r>
              <w:rPr>
                <w:rFonts w:cs="Arial" w:ascii="Arial" w:hAnsi="Arial"/>
                <w:sz w:val="24"/>
                <w:szCs w:val="24"/>
              </w:rPr>
              <w:t>Plan Nacional de Fiscalización de Concesiones Marítimas y detección de ocupación ilegal.</w:t>
            </w:r>
          </w:p>
        </w:tc>
        <w:tc>
          <w:tcPr>
            <w:tcW w:w="2675"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Oficiar al mando operativo, planteando la situación de la falta de combustible y el efecto en las tareas de fiscalización e incumplimiento de las metas planificadas. Remitiendo copia de la resolución adoptada.</w:t>
            </w:r>
          </w:p>
        </w:tc>
        <w:tc>
          <w:tcPr>
            <w:tcW w:w="3686" w:type="dxa"/>
            <w:tcBorders/>
          </w:tcPr>
          <w:p>
            <w:pPr>
              <w:pStyle w:val="NormalWeb"/>
              <w:numPr>
                <w:ilvl w:val="0"/>
                <w:numId w:val="7"/>
              </w:numPr>
              <w:spacing w:lineRule="auto" w:line="252" w:before="0" w:after="0"/>
              <w:ind w:left="459" w:hanging="425"/>
              <w:jc w:val="both"/>
              <w:rPr>
                <w:color w:val="000000"/>
              </w:rPr>
            </w:pPr>
            <w:r>
              <w:rPr>
                <w:rFonts w:cs="Arial" w:ascii="Arial" w:hAnsi="Arial"/>
                <w:color w:val="000000"/>
                <w:lang w:eastAsia="zh-CN" w:bidi="ar"/>
              </w:rPr>
              <w:t xml:space="preserve">No se ha oficiado al Mando Operativo, considerando que por mensaje MARITGOBAYS 261530 MAY 2021, se informó con fecha 19 de mayo de 2021, se efectuó devolución de combustible Militar rebajado a principio de año. </w:t>
            </w:r>
          </w:p>
          <w:p>
            <w:pPr>
              <w:pStyle w:val="NormalWeb"/>
              <w:numPr>
                <w:ilvl w:val="0"/>
                <w:numId w:val="7"/>
              </w:numPr>
              <w:spacing w:lineRule="auto" w:line="252" w:before="100" w:after="0"/>
              <w:ind w:left="459" w:hanging="425"/>
              <w:jc w:val="both"/>
              <w:rPr>
                <w:rFonts w:ascii="Arial" w:hAnsi="Arial" w:cs="Arial"/>
              </w:rPr>
            </w:pPr>
            <w:r>
              <w:rPr>
                <w:rFonts w:cs="Arial" w:ascii="Arial" w:hAnsi="Arial"/>
                <w:color w:val="000000"/>
                <w:lang w:eastAsia="zh-CN" w:bidi="ar"/>
              </w:rPr>
              <w:t xml:space="preserve">Además, por mensaje MARITGOBAYS 161635 JUN 21, informa que dada las restricciones presupuestarias en asignación de combustible, dispone gasto DMFO en forma progresiva y planificada en actividades de POLMAR/FISPESQ., de las Unidades. </w:t>
            </w:r>
          </w:p>
          <w:p>
            <w:pPr>
              <w:pStyle w:val="NormalWeb"/>
              <w:spacing w:lineRule="auto" w:line="252" w:before="100" w:after="0"/>
              <w:jc w:val="both"/>
              <w:rPr>
                <w:rFonts w:ascii="Arial" w:hAnsi="Arial" w:cs="Arial"/>
              </w:rPr>
            </w:pPr>
            <w:r>
              <w:rPr>
                <w:rFonts w:cs="Arial" w:ascii="Arial" w:hAnsi="Arial"/>
              </w:rPr>
            </w:r>
          </w:p>
        </w:tc>
        <w:tc>
          <w:tcPr>
            <w:tcW w:w="2409"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268"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128" w:type="dxa"/>
        <w:jc w:val="center"/>
        <w:tblInd w:w="0" w:type="dxa"/>
        <w:tblCellMar>
          <w:top w:w="0" w:type="dxa"/>
          <w:left w:w="108" w:type="dxa"/>
          <w:bottom w:w="0" w:type="dxa"/>
          <w:right w:w="108" w:type="dxa"/>
        </w:tblCellMar>
        <w:tblLook w:firstRow="1" w:noVBand="1" w:lastRow="0" w:firstColumn="1" w:lastColumn="0" w:noHBand="0" w:val="04a0"/>
      </w:tblPr>
      <w:tblGrid>
        <w:gridCol w:w="544"/>
        <w:gridCol w:w="3030"/>
        <w:gridCol w:w="2410"/>
        <w:gridCol w:w="2552"/>
        <w:gridCol w:w="3722"/>
        <w:gridCol w:w="2696"/>
        <w:gridCol w:w="2173"/>
      </w:tblGrid>
      <w:tr>
        <w:trPr>
          <w:tblHeader w:val="true"/>
        </w:trPr>
        <w:tc>
          <w:tcPr>
            <w:tcW w:w="544"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03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4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55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72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6"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7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544"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highlight w:val="yellow"/>
                <w:lang w:val="es-MX"/>
              </w:rPr>
            </w:r>
          </w:p>
        </w:tc>
        <w:tc>
          <w:tcPr>
            <w:tcW w:w="303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410" w:type="dxa"/>
            <w:tcBorders/>
            <w:vAlign w:val="center"/>
          </w:tcPr>
          <w:p>
            <w:pPr>
              <w:pStyle w:val="ListParagraph"/>
              <w:numPr>
                <w:ilvl w:val="0"/>
                <w:numId w:val="0"/>
              </w:numPr>
              <w:spacing w:lineRule="auto" w:line="240" w:before="0" w:after="0"/>
              <w:ind w:left="330" w:right="34" w:hanging="0"/>
              <w:contextualSpacing/>
              <w:jc w:val="both"/>
              <w:outlineLvl w:val="0"/>
              <w:rPr>
                <w:rFonts w:ascii="Arial" w:hAnsi="Arial" w:eastAsia="Times New Roman" w:cs="Arial"/>
                <w:sz w:val="24"/>
                <w:szCs w:val="24"/>
                <w:lang w:eastAsia="es-ES"/>
              </w:rPr>
            </w:pPr>
            <w:r>
              <w:rPr>
                <w:rFonts w:eastAsia="Times New Roman" w:cs="Arial" w:ascii="Arial" w:hAnsi="Arial"/>
                <w:sz w:val="24"/>
                <w:szCs w:val="24"/>
                <w:lang w:eastAsia="es-ES"/>
              </w:rPr>
            </w:r>
          </w:p>
        </w:tc>
        <w:tc>
          <w:tcPr>
            <w:tcW w:w="2552" w:type="dxa"/>
            <w:tcBorders/>
          </w:tcPr>
          <w:p>
            <w:pPr>
              <w:pStyle w:val="ListParagraph"/>
              <w:spacing w:lineRule="auto" w:line="240" w:before="0" w:after="0"/>
              <w:ind w:left="330" w:hanging="0"/>
              <w:contextualSpacing/>
              <w:jc w:val="both"/>
              <w:rPr>
                <w:rFonts w:ascii="Arial" w:hAnsi="Arial" w:cs="Arial"/>
                <w:sz w:val="24"/>
                <w:szCs w:val="24"/>
                <w:lang w:val="es-MX"/>
              </w:rPr>
            </w:pPr>
            <w:r>
              <w:rPr>
                <w:rFonts w:cs="Arial" w:ascii="Arial" w:hAnsi="Arial"/>
                <w:sz w:val="24"/>
                <w:szCs w:val="24"/>
                <w:lang w:val="es-MX"/>
              </w:rPr>
            </w:r>
          </w:p>
          <w:p>
            <w:pPr>
              <w:pStyle w:val="ListParagraph"/>
              <w:spacing w:lineRule="auto" w:line="240" w:before="0" w:after="0"/>
              <w:ind w:left="330" w:hanging="0"/>
              <w:contextualSpacing/>
              <w:jc w:val="both"/>
              <w:rPr>
                <w:rFonts w:ascii="Arial" w:hAnsi="Arial" w:cs="Arial"/>
                <w:sz w:val="24"/>
                <w:szCs w:val="24"/>
              </w:rPr>
            </w:pPr>
            <w:r>
              <w:rPr>
                <w:rFonts w:cs="Arial" w:ascii="Arial" w:hAnsi="Arial"/>
                <w:sz w:val="24"/>
                <w:szCs w:val="24"/>
              </w:rPr>
            </w:r>
          </w:p>
        </w:tc>
        <w:tc>
          <w:tcPr>
            <w:tcW w:w="3722" w:type="dxa"/>
            <w:tcBorders/>
          </w:tcPr>
          <w:p>
            <w:pPr>
              <w:pStyle w:val="NormalWeb"/>
              <w:numPr>
                <w:ilvl w:val="0"/>
                <w:numId w:val="7"/>
              </w:numPr>
              <w:spacing w:lineRule="auto" w:line="252" w:before="0" w:after="0"/>
              <w:ind w:left="459" w:hanging="459"/>
              <w:jc w:val="both"/>
              <w:rPr>
                <w:rFonts w:ascii="Arial" w:hAnsi="Arial" w:cs="Arial"/>
                <w:color w:val="000000"/>
                <w:lang w:eastAsia="zh-CN" w:bidi="ar"/>
              </w:rPr>
            </w:pPr>
            <w:r>
              <w:rPr>
                <w:rFonts w:cs="Arial" w:ascii="Arial" w:hAnsi="Arial"/>
                <w:color w:val="000000"/>
                <w:lang w:eastAsia="zh-CN" w:bidi="ar"/>
              </w:rPr>
              <w:t>La Gobernación Marítima de Aysén informa mensualmente la cantidad de DMFO autorizado para consumir el mes siguiente, sobre el cual se planifica las actividades de POLMAR/FISPESQ., dando cumplimiento a las Metas de Patrullaje Marítimo.</w:t>
            </w:r>
          </w:p>
          <w:p>
            <w:pPr>
              <w:pStyle w:val="NormalWeb"/>
              <w:numPr>
                <w:ilvl w:val="0"/>
                <w:numId w:val="7"/>
              </w:numPr>
              <w:spacing w:lineRule="auto" w:line="252" w:beforeAutospacing="0" w:before="280" w:after="0"/>
              <w:ind w:left="459" w:hanging="425"/>
              <w:jc w:val="both"/>
              <w:rPr>
                <w:color w:val="000000"/>
              </w:rPr>
            </w:pPr>
            <w:r>
              <w:rPr>
                <w:rFonts w:cs="Arial" w:ascii="Arial" w:hAnsi="Arial"/>
                <w:color w:val="000000"/>
                <w:lang w:eastAsia="zh-CN" w:bidi="ar"/>
              </w:rPr>
              <w:t>Mensualmente</w:t>
            </w:r>
            <w:r>
              <w:rPr>
                <w:rFonts w:cs="Arial" w:ascii="Arial" w:hAnsi="Arial"/>
                <w:b/>
                <w:color w:val="000000"/>
                <w:lang w:eastAsia="zh-CN" w:bidi="ar"/>
              </w:rPr>
              <w:t xml:space="preserve"> </w:t>
            </w:r>
            <w:r>
              <w:rPr>
                <w:rFonts w:cs="Arial" w:ascii="Arial" w:hAnsi="Arial"/>
                <w:color w:val="000000"/>
                <w:lang w:eastAsia="zh-CN" w:bidi="ar"/>
              </w:rPr>
              <w:t>se solicita vía mensaje naval a MARITGOBAYS, apoyo de medio marítimo de mayor</w:t>
            </w:r>
            <w:r>
              <w:rPr>
                <w:rFonts w:cs="Arial" w:ascii="Arial" w:hAnsi="Arial"/>
                <w:b/>
                <w:color w:val="000000"/>
                <w:lang w:eastAsia="zh-CN" w:bidi="ar"/>
              </w:rPr>
              <w:t xml:space="preserve"> </w:t>
            </w:r>
            <w:r>
              <w:rPr>
                <w:rFonts w:cs="Arial" w:ascii="Arial" w:hAnsi="Arial"/>
                <w:color w:val="000000"/>
                <w:lang w:eastAsia="zh-CN" w:bidi="ar"/>
              </w:rPr>
              <w:t>autonomía, con el propósito de efectuar tareas de fiscalización a CC.MM. (Cumplimiento del Plan Nacional de Fiscalización de CC. MM. y detección de ocupaciones ilegales) y centros de cultivo existentes en sectores más alejados de la jurisdicción.</w:t>
            </w:r>
          </w:p>
        </w:tc>
        <w:tc>
          <w:tcPr>
            <w:tcW w:w="2696"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173"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6978" w:type="dxa"/>
        <w:jc w:val="center"/>
        <w:tblInd w:w="0" w:type="dxa"/>
        <w:tblCellMar>
          <w:top w:w="0" w:type="dxa"/>
          <w:left w:w="108" w:type="dxa"/>
          <w:bottom w:w="0" w:type="dxa"/>
          <w:right w:w="108" w:type="dxa"/>
        </w:tblCellMar>
        <w:tblLook w:firstRow="1" w:noVBand="1" w:lastRow="0" w:firstColumn="1" w:lastColumn="0" w:noHBand="0" w:val="04a0"/>
      </w:tblPr>
      <w:tblGrid>
        <w:gridCol w:w="567"/>
        <w:gridCol w:w="3013"/>
        <w:gridCol w:w="2374"/>
        <w:gridCol w:w="2445"/>
        <w:gridCol w:w="3828"/>
        <w:gridCol w:w="2693"/>
        <w:gridCol w:w="2032"/>
        <w:gridCol w:w="24"/>
      </w:tblGrid>
      <w:tr>
        <w:trPr>
          <w:tblHeader w:val="true"/>
        </w:trPr>
        <w:tc>
          <w:tcPr>
            <w:tcW w:w="56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01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37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44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82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3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c>
          <w:tcPr>
            <w:tcW w:w="24" w:type="dxa"/>
            <w:tcBorders>
              <w:top w:val="nil"/>
              <w:left w:val="nil"/>
              <w:bottom w:val="nil"/>
              <w:right w:val="nil"/>
            </w:tcBorders>
          </w:tcPr>
          <w:p>
            <w:pPr>
              <w:pStyle w:val="Normal"/>
              <w:spacing w:lineRule="auto" w:line="240" w:before="0" w:after="0"/>
              <w:rPr/>
            </w:pPr>
            <w:r>
              <w:rPr/>
            </w:r>
          </w:p>
        </w:tc>
      </w:tr>
      <w:tr>
        <w:trPr>
          <w:tblHeader w:val="true"/>
        </w:trPr>
        <w:tc>
          <w:tcPr>
            <w:tcW w:w="56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3013" w:type="dxa"/>
            <w:tcBorders/>
            <w:vAlign w:val="center"/>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Durante la inspección, la LPM-4411 se encontraba desde el 1 de mayo asignada a la Capitanía de Puerto de Melinka por  período de automantención de la LSR-4420.</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Debido a la restricción de combustible y al aumento de las horas de operación versus lo planificado mensualmente, la lancha se encuentra limitada por el Gobernador Marítimo solo a operaciones de Búsqueda y Salvamento y a evacuaciones médicas.</w:t>
            </w:r>
          </w:p>
        </w:tc>
        <w:tc>
          <w:tcPr>
            <w:tcW w:w="2374" w:type="dxa"/>
            <w:tcBorders/>
          </w:tcPr>
          <w:p>
            <w:pPr>
              <w:pStyle w:val="Prrafodelista1"/>
              <w:spacing w:lineRule="auto" w:line="240" w:before="0" w:after="0"/>
              <w:ind w:left="360" w:hanging="360"/>
              <w:contextualSpacing/>
              <w:jc w:val="both"/>
              <w:rPr>
                <w:rFonts w:ascii="Arial" w:hAnsi="Arial" w:cs="Arial"/>
                <w:sz w:val="24"/>
                <w:szCs w:val="24"/>
              </w:rPr>
            </w:pPr>
            <w:r>
              <w:rPr>
                <w:rFonts w:cs="Arial" w:ascii="Arial" w:hAnsi="Arial"/>
                <w:sz w:val="24"/>
                <w:szCs w:val="24"/>
              </w:rPr>
              <w:t>a.- Metas establecidas en el Tablero de Mando Operativo.</w:t>
            </w:r>
          </w:p>
        </w:tc>
        <w:tc>
          <w:tcPr>
            <w:tcW w:w="2445" w:type="dxa"/>
            <w:tcBorders/>
            <w:vAlign w:val="center"/>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3828" w:type="dxa"/>
            <w:tcBorders/>
          </w:tcPr>
          <w:p>
            <w:pPr>
              <w:pStyle w:val="Prrafodelista1"/>
              <w:spacing w:lineRule="auto" w:line="240" w:before="0" w:after="0"/>
              <w:ind w:left="360" w:hanging="360"/>
              <w:contextualSpacing/>
              <w:jc w:val="both"/>
              <w:rPr>
                <w:rFonts w:ascii="Arial" w:hAnsi="Arial" w:cs="Arial"/>
                <w:sz w:val="24"/>
                <w:szCs w:val="24"/>
              </w:rPr>
            </w:pPr>
            <w:r>
              <w:rPr>
                <w:rFonts w:cs="Arial" w:ascii="Arial" w:hAnsi="Arial"/>
                <w:sz w:val="24"/>
                <w:szCs w:val="24"/>
              </w:rPr>
            </w:r>
          </w:p>
        </w:tc>
        <w:tc>
          <w:tcPr>
            <w:tcW w:w="2693" w:type="dxa"/>
            <w:tcBorders/>
            <w:vAlign w:val="center"/>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t>SUPERADA</w:t>
            </w:r>
          </w:p>
        </w:tc>
        <w:tc>
          <w:tcPr>
            <w:tcW w:w="2056" w:type="dxa"/>
            <w:gridSpan w:val="2"/>
            <w:tcBorders/>
          </w:tcPr>
          <w:p>
            <w:pPr>
              <w:pStyle w:val="Normal"/>
              <w:spacing w:lineRule="auto" w:line="240" w:before="0" w:after="0"/>
              <w:ind w:left="538" w:hanging="153"/>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6842" w:type="dxa"/>
        <w:jc w:val="center"/>
        <w:tblInd w:w="0" w:type="dxa"/>
        <w:tblCellMar>
          <w:top w:w="0" w:type="dxa"/>
          <w:left w:w="108" w:type="dxa"/>
          <w:bottom w:w="0" w:type="dxa"/>
          <w:right w:w="108" w:type="dxa"/>
        </w:tblCellMar>
        <w:tblLook w:firstRow="1" w:noVBand="1" w:lastRow="0" w:firstColumn="1" w:lastColumn="0" w:noHBand="0" w:val="04a0"/>
      </w:tblPr>
      <w:tblGrid>
        <w:gridCol w:w="399"/>
        <w:gridCol w:w="2977"/>
        <w:gridCol w:w="2631"/>
        <w:gridCol w:w="2329"/>
        <w:gridCol w:w="3687"/>
        <w:gridCol w:w="2693"/>
        <w:gridCol w:w="2125"/>
      </w:tblGrid>
      <w:tr>
        <w:trPr>
          <w:tblHeader w:val="true"/>
        </w:trPr>
        <w:tc>
          <w:tcPr>
            <w:tcW w:w="399"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97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3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32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68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25" w:type="dxa"/>
            <w:tcBorders/>
          </w:tcPr>
          <w:p>
            <w:pPr>
              <w:pStyle w:val="Normal"/>
              <w:spacing w:lineRule="auto" w:line="240" w:before="0" w:after="0"/>
              <w:ind w:left="-15532" w:right="17390" w:hanging="0"/>
              <w:jc w:val="center"/>
              <w:rPr>
                <w:rFonts w:ascii="Arial" w:hAnsi="Arial" w:cs="Arial"/>
                <w:b/>
                <w:b/>
                <w:sz w:val="24"/>
                <w:szCs w:val="24"/>
                <w:lang w:val="es-MX"/>
              </w:rPr>
            </w:pPr>
            <w:r>
              <w:rPr>
                <w:rFonts w:cs="Arial" w:ascii="Arial" w:hAnsi="Arial"/>
                <w:b/>
                <w:sz w:val="24"/>
                <w:szCs w:val="24"/>
                <w:lang w:val="es-MX"/>
              </w:rPr>
            </w:r>
          </w:p>
          <w:p>
            <w:pPr>
              <w:pStyle w:val="Normal"/>
              <w:spacing w:lineRule="auto" w:line="240" w:before="0" w:after="0"/>
              <w:jc w:val="center"/>
              <w:rPr>
                <w:rFonts w:ascii="Arial" w:hAnsi="Arial" w:cs="Arial"/>
                <w:sz w:val="24"/>
                <w:szCs w:val="24"/>
                <w:lang w:val="es-MX"/>
              </w:rPr>
            </w:pPr>
            <w:r>
              <w:rPr>
                <w:rFonts w:cs="Arial" w:ascii="Arial" w:hAnsi="Arial"/>
                <w:b/>
                <w:sz w:val="24"/>
                <w:szCs w:val="24"/>
                <w:lang w:val="es-MX"/>
              </w:rPr>
              <w:t>RESPUESTA MARITGOBAYS</w:t>
            </w:r>
          </w:p>
        </w:tc>
      </w:tr>
      <w:tr>
        <w:trPr>
          <w:tblHeader w:val="true"/>
          <w:trHeight w:val="580" w:hRule="atLeast"/>
        </w:trPr>
        <w:tc>
          <w:tcPr>
            <w:tcW w:w="14716" w:type="dxa"/>
            <w:gridSpan w:val="6"/>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p>
            <w:pPr>
              <w:pStyle w:val="Normal"/>
              <w:spacing w:lineRule="auto" w:line="240" w:before="0" w:after="0"/>
              <w:rPr>
                <w:rFonts w:ascii="Arial" w:hAnsi="Arial" w:cs="Arial"/>
                <w:b/>
                <w:b/>
                <w:sz w:val="16"/>
                <w:szCs w:val="16"/>
                <w:highlight w:val="yellow"/>
                <w:lang w:val="es-MX"/>
              </w:rPr>
            </w:pPr>
            <w:r>
              <w:rPr>
                <w:rFonts w:eastAsia="Times New Roman" w:cs="Arial" w:ascii="Arial" w:hAnsi="Arial"/>
                <w:b/>
                <w:bCs/>
                <w:color w:val="000000"/>
                <w:sz w:val="24"/>
                <w:szCs w:val="24"/>
                <w:lang w:eastAsia="es-CL"/>
              </w:rPr>
              <w:t>División Policía Marítima.</w:t>
            </w:r>
          </w:p>
        </w:tc>
        <w:tc>
          <w:tcPr>
            <w:tcW w:w="2125" w:type="dxa"/>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tc>
      </w:tr>
      <w:tr>
        <w:trPr>
          <w:tblHeader w:val="true"/>
          <w:trHeight w:val="580" w:hRule="atLeast"/>
        </w:trPr>
        <w:tc>
          <w:tcPr>
            <w:tcW w:w="399"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a)</w:t>
            </w:r>
          </w:p>
        </w:tc>
        <w:tc>
          <w:tcPr>
            <w:tcW w:w="2977"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 xml:space="preserve">Se evidenció que el Plan de Alistamiento para huelgas, movilización o incidentes en el puerto o jurisdicción marítima no se encuentra actualizado y no se ajusta a la realidad de la Capitanía de Puerto en relación a la cantidad (05 equipos antidisturbios), y tipo de equipo antidisturbios asignado. </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631" w:type="dxa"/>
            <w:tcBorders/>
          </w:tcPr>
          <w:p>
            <w:pPr>
              <w:pStyle w:val="Prrafodelista1"/>
              <w:numPr>
                <w:ilvl w:val="0"/>
                <w:numId w:val="8"/>
              </w:numPr>
              <w:spacing w:lineRule="auto" w:line="240" w:before="0" w:after="0"/>
              <w:ind w:left="460" w:hanging="425"/>
              <w:contextualSpacing/>
              <w:jc w:val="both"/>
              <w:rPr>
                <w:rFonts w:ascii="Arial" w:hAnsi="Arial" w:cs="Arial"/>
                <w:sz w:val="24"/>
                <w:szCs w:val="24"/>
              </w:rPr>
            </w:pPr>
            <w:r>
              <w:rPr>
                <w:rFonts w:cs="Arial" w:ascii="Arial" w:hAnsi="Arial"/>
                <w:sz w:val="24"/>
                <w:szCs w:val="24"/>
              </w:rPr>
              <w:t>Resol. N° 6560/1, de fecha 26 de enero de 2011, Manual de Organización y Funcionamiento de las Gobernaciones Marítimas y Capitanías de Puerto.</w:t>
            </w:r>
          </w:p>
          <w:p>
            <w:pPr>
              <w:pStyle w:val="Prrafodelista1"/>
              <w:numPr>
                <w:ilvl w:val="0"/>
                <w:numId w:val="8"/>
              </w:numPr>
              <w:spacing w:lineRule="auto" w:line="240" w:before="0" w:after="0"/>
              <w:ind w:left="460" w:hanging="425"/>
              <w:contextualSpacing/>
              <w:jc w:val="both"/>
              <w:rPr>
                <w:rFonts w:ascii="Arial" w:hAnsi="Arial" w:cs="Arial"/>
                <w:sz w:val="24"/>
                <w:szCs w:val="24"/>
              </w:rPr>
            </w:pPr>
            <w:r>
              <w:rPr>
                <w:rFonts w:cs="Arial" w:ascii="Arial" w:hAnsi="Arial"/>
                <w:sz w:val="24"/>
                <w:szCs w:val="24"/>
              </w:rPr>
              <w:t>Formulario Revista de inspección Depto. de Seguridad y Operaciones Marítimas, punto IV, letras F.- y G.-</w:t>
            </w:r>
          </w:p>
        </w:tc>
        <w:tc>
          <w:tcPr>
            <w:tcW w:w="2329"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Actualizar el plan de acuerdo a la realidad jurisdiccional considerando cantidad y tipo de equipo antidisturbios asignado.</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3687" w:type="dxa"/>
            <w:tcBorders/>
          </w:tcPr>
          <w:p>
            <w:pPr>
              <w:pStyle w:val="NormalWeb"/>
              <w:spacing w:lineRule="auto" w:line="252" w:before="0" w:after="0"/>
              <w:jc w:val="both"/>
              <w:rPr>
                <w:rFonts w:ascii="Arial" w:hAnsi="Arial" w:cs="Arial"/>
                <w:color w:val="000000"/>
                <w:lang w:eastAsia="zh-CN" w:bidi="ar"/>
              </w:rPr>
            </w:pPr>
            <w:r>
              <w:rPr>
                <w:rFonts w:cs="Arial" w:ascii="Arial" w:hAnsi="Arial"/>
                <w:color w:val="000000"/>
                <w:lang w:val="es-MX" w:eastAsia="zh-CN" w:bidi="ar"/>
              </w:rPr>
              <w:t xml:space="preserve">Se actualizó </w:t>
            </w:r>
            <w:r>
              <w:rPr>
                <w:rFonts w:cs="Arial" w:ascii="Arial" w:hAnsi="Arial"/>
                <w:color w:val="000000"/>
                <w:lang w:eastAsia="zh-CN" w:bidi="ar"/>
              </w:rPr>
              <w:t xml:space="preserve">Plan de Alistamiento para huelgas, movilización o incidentes en el puerto o jurisdicción marítima, C.P. CHB Nº 3150/642, de fecha 15 de junio de 2021, conforme a plan superior, realidad jurisdiccional y tipo de equipo antidisturbios asignado. </w:t>
            </w:r>
          </w:p>
          <w:p>
            <w:pPr>
              <w:pStyle w:val="Normal"/>
              <w:spacing w:lineRule="auto" w:line="240" w:before="0" w:after="0"/>
              <w:jc w:val="both"/>
              <w:rPr>
                <w:rFonts w:ascii="Arial" w:hAnsi="Arial" w:cs="Arial"/>
                <w:color w:val="000000"/>
                <w:sz w:val="24"/>
                <w:szCs w:val="24"/>
                <w:lang w:eastAsia="zh-CN" w:bidi="ar"/>
              </w:rPr>
            </w:pPr>
            <w:r>
              <w:rPr>
                <w:rFonts w:cs="Arial" w:ascii="Arial" w:hAnsi="Arial"/>
                <w:color w:val="000000"/>
                <w:sz w:val="24"/>
                <w:szCs w:val="24"/>
                <w:lang w:eastAsia="zh-CN" w:bidi="ar"/>
              </w:rPr>
            </w:r>
          </w:p>
          <w:p>
            <w:pPr>
              <w:pStyle w:val="Normal"/>
              <w:spacing w:lineRule="auto" w:line="240" w:before="0" w:after="0"/>
              <w:jc w:val="both"/>
              <w:rPr>
                <w:rFonts w:ascii="Arial" w:hAnsi="Arial" w:cs="Arial"/>
                <w:color w:val="000000"/>
                <w:sz w:val="24"/>
                <w:szCs w:val="24"/>
                <w:lang w:eastAsia="zh-CN" w:bidi="ar"/>
              </w:rPr>
            </w:pPr>
            <w:r>
              <w:rPr>
                <w:rFonts w:cs="Arial" w:ascii="Arial" w:hAnsi="Arial"/>
                <w:color w:val="000000"/>
                <w:sz w:val="24"/>
                <w:szCs w:val="24"/>
                <w:lang w:eastAsia="zh-CN" w:bidi="ar"/>
              </w:rPr>
            </w:r>
          </w:p>
          <w:p>
            <w:pPr>
              <w:pStyle w:val="Normal"/>
              <w:spacing w:lineRule="auto" w:line="240" w:before="0" w:after="0"/>
              <w:jc w:val="both"/>
              <w:rPr>
                <w:rFonts w:ascii="Arial" w:hAnsi="Arial" w:cs="Arial"/>
                <w:color w:val="000000"/>
                <w:sz w:val="24"/>
                <w:szCs w:val="24"/>
                <w:lang w:eastAsia="zh-CN" w:bidi="ar"/>
              </w:rPr>
            </w:pPr>
            <w:r>
              <w:rPr>
                <w:rFonts w:cs="Arial" w:ascii="Arial" w:hAnsi="Arial"/>
                <w:color w:val="000000"/>
                <w:sz w:val="24"/>
                <w:szCs w:val="24"/>
                <w:lang w:eastAsia="zh-CN" w:bidi="ar"/>
              </w:rPr>
            </w:r>
          </w:p>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693" w:type="dxa"/>
            <w:tcBorders/>
            <w:vAlign w:val="center"/>
          </w:tcPr>
          <w:p>
            <w:pPr>
              <w:pStyle w:val="Normal"/>
              <w:spacing w:lineRule="auto" w:line="240" w:before="0" w:after="0"/>
              <w:ind w:left="1360" w:hanging="1360"/>
              <w:jc w:val="center"/>
              <w:rPr>
                <w:rFonts w:ascii="Arial" w:hAnsi="Arial" w:cs="Arial"/>
                <w:b/>
                <w:b/>
                <w:sz w:val="24"/>
                <w:szCs w:val="24"/>
                <w:highlight w:val="yellow"/>
                <w:lang w:val="es-MX"/>
              </w:rPr>
            </w:pPr>
            <w:r>
              <w:rPr>
                <w:rFonts w:cs="Arial" w:ascii="Arial" w:hAnsi="Arial"/>
                <w:b/>
                <w:sz w:val="24"/>
                <w:szCs w:val="24"/>
                <w:lang w:val="es-MX"/>
              </w:rPr>
              <w:t>SUPERADA</w:t>
            </w:r>
          </w:p>
        </w:tc>
        <w:tc>
          <w:tcPr>
            <w:tcW w:w="2125"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6805" w:type="dxa"/>
        <w:jc w:val="center"/>
        <w:tblInd w:w="0" w:type="dxa"/>
        <w:tblCellMar>
          <w:top w:w="0" w:type="dxa"/>
          <w:left w:w="108" w:type="dxa"/>
          <w:bottom w:w="0" w:type="dxa"/>
          <w:right w:w="108" w:type="dxa"/>
        </w:tblCellMar>
        <w:tblLook w:firstRow="1" w:noVBand="1" w:lastRow="0" w:firstColumn="1" w:lastColumn="0" w:noHBand="0" w:val="04a0"/>
      </w:tblPr>
      <w:tblGrid>
        <w:gridCol w:w="645"/>
        <w:gridCol w:w="2650"/>
        <w:gridCol w:w="2694"/>
        <w:gridCol w:w="2374"/>
        <w:gridCol w:w="3580"/>
        <w:gridCol w:w="2835"/>
        <w:gridCol w:w="2026"/>
      </w:tblGrid>
      <w:tr>
        <w:trPr>
          <w:tblHeader w:val="true"/>
        </w:trPr>
        <w:tc>
          <w:tcPr>
            <w:tcW w:w="645"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65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37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58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835"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026" w:type="dxa"/>
            <w:tcBorders/>
            <w:vAlign w:val="center"/>
          </w:tcPr>
          <w:p>
            <w:pPr>
              <w:pStyle w:val="Normal"/>
              <w:tabs>
                <w:tab w:val="clear" w:pos="708"/>
                <w:tab w:val="left" w:pos="719" w:leader="none"/>
              </w:tabs>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4778" w:type="dxa"/>
            <w:gridSpan w:val="6"/>
            <w:tcBorders/>
            <w:vAlign w:val="center"/>
          </w:tcPr>
          <w:p>
            <w:pPr>
              <w:pStyle w:val="Normal"/>
              <w:spacing w:lineRule="auto" w:line="240" w:before="0" w:after="0"/>
              <w:rPr>
                <w:rFonts w:ascii="Arial" w:hAnsi="Arial" w:eastAsia="Times New Roman" w:cs="Arial"/>
                <w:b/>
                <w:b/>
                <w:bCs/>
                <w:color w:val="000000"/>
                <w:sz w:val="16"/>
                <w:szCs w:val="16"/>
                <w:highlight w:val="red"/>
                <w:lang w:eastAsia="es-CL"/>
              </w:rPr>
            </w:pPr>
            <w:r>
              <w:rPr>
                <w:rFonts w:eastAsia="Times New Roman" w:cs="Arial" w:ascii="Arial" w:hAnsi="Arial"/>
                <w:b/>
                <w:bCs/>
                <w:color w:val="000000"/>
                <w:sz w:val="16"/>
                <w:szCs w:val="16"/>
                <w:highlight w:val="red"/>
                <w:lang w:eastAsia="es-CL"/>
              </w:rPr>
            </w:r>
          </w:p>
          <w:p>
            <w:pPr>
              <w:pStyle w:val="Normal"/>
              <w:spacing w:lineRule="auto" w:line="240" w:before="0" w:after="0"/>
              <w:ind w:left="34" w:right="30" w:hanging="0"/>
              <w:jc w:val="both"/>
              <w:rPr>
                <w:rFonts w:ascii="Arial" w:hAnsi="Arial" w:cs="Arial"/>
                <w:b/>
                <w:b/>
                <w:sz w:val="16"/>
                <w:szCs w:val="16"/>
                <w:highlight w:val="red"/>
              </w:rPr>
            </w:pPr>
            <w:r>
              <w:rPr>
                <w:rFonts w:eastAsia="Times New Roman" w:cs="Arial" w:ascii="Arial" w:hAnsi="Arial"/>
                <w:b/>
                <w:sz w:val="24"/>
                <w:szCs w:val="24"/>
                <w:lang w:eastAsia="es-CL"/>
              </w:rPr>
              <w:t>4.- JEFATURA DEL DEPTO. DE INTERESES MARÍTIMOS Y PRESERVACIÓN DEL MEDIO AMBIENTE ACUÁTICO.</w:t>
            </w:r>
          </w:p>
        </w:tc>
        <w:tc>
          <w:tcPr>
            <w:tcW w:w="2026" w:type="dxa"/>
            <w:tcBorders/>
          </w:tcPr>
          <w:p>
            <w:pPr>
              <w:pStyle w:val="Normal"/>
              <w:tabs>
                <w:tab w:val="clear" w:pos="708"/>
                <w:tab w:val="left" w:pos="719" w:leader="none"/>
              </w:tabs>
              <w:spacing w:lineRule="auto" w:line="240" w:before="0" w:after="0"/>
              <w:rPr>
                <w:rFonts w:ascii="Arial" w:hAnsi="Arial" w:eastAsia="Times New Roman" w:cs="Arial"/>
                <w:b/>
                <w:b/>
                <w:bCs/>
                <w:color w:val="000000"/>
                <w:sz w:val="16"/>
                <w:szCs w:val="16"/>
                <w:highlight w:val="red"/>
                <w:lang w:eastAsia="es-CL"/>
              </w:rPr>
            </w:pPr>
            <w:r>
              <w:rPr>
                <w:rFonts w:eastAsia="Times New Roman" w:cs="Arial" w:ascii="Arial" w:hAnsi="Arial"/>
                <w:b/>
                <w:bCs/>
                <w:color w:val="000000"/>
                <w:sz w:val="16"/>
                <w:szCs w:val="16"/>
                <w:highlight w:val="red"/>
                <w:lang w:eastAsia="es-CL"/>
              </w:rPr>
            </w:r>
          </w:p>
        </w:tc>
      </w:tr>
      <w:tr>
        <w:trPr>
          <w:tblHeader w:val="true"/>
        </w:trPr>
        <w:tc>
          <w:tcPr>
            <w:tcW w:w="645" w:type="dxa"/>
            <w:tcBorders/>
          </w:tcPr>
          <w:p>
            <w:pPr>
              <w:pStyle w:val="Normal"/>
              <w:spacing w:lineRule="auto" w:line="240" w:before="0" w:after="0"/>
              <w:ind w:left="34" w:right="30" w:hanging="0"/>
              <w:jc w:val="center"/>
              <w:rPr>
                <w:rFonts w:ascii="Arial" w:hAnsi="Arial" w:eastAsia="Times New Roman" w:cs="Arial"/>
                <w:sz w:val="24"/>
                <w:szCs w:val="24"/>
                <w:lang w:eastAsia="es-CL"/>
              </w:rPr>
            </w:pPr>
            <w:r>
              <w:rPr>
                <w:rFonts w:eastAsia="Times New Roman" w:cs="Arial" w:ascii="Arial" w:hAnsi="Arial"/>
                <w:sz w:val="24"/>
                <w:szCs w:val="24"/>
                <w:lang w:eastAsia="es-CL"/>
              </w:rPr>
              <w:t>a)</w:t>
            </w:r>
          </w:p>
        </w:tc>
        <w:tc>
          <w:tcPr>
            <w:tcW w:w="2650" w:type="dxa"/>
            <w:tcBorders/>
          </w:tcPr>
          <w:p>
            <w:pPr>
              <w:pStyle w:val="Normal"/>
              <w:spacing w:lineRule="auto" w:line="240" w:before="0" w:after="0"/>
              <w:jc w:val="both"/>
              <w:rPr>
                <w:rFonts w:ascii="Arial" w:hAnsi="Arial" w:cs="Arial"/>
                <w:sz w:val="24"/>
                <w:szCs w:val="24"/>
              </w:rPr>
            </w:pPr>
            <w:r>
              <w:rPr>
                <w:rFonts w:cs="Arial" w:ascii="Arial" w:hAnsi="Arial"/>
                <w:sz w:val="24"/>
                <w:szCs w:val="24"/>
              </w:rPr>
              <w:t>Se evidenció que la planificación no se encuentra alineada, en lo respecta a objetivos/metas versus la disponibilidad presupuestaria y de medios (humanos y materiales) del Dpto. de INMAR para la fiscalización de CC.MM./CC.AA., inspecciones intempestivas de personal marítimo y seguridad a naves menores, entre otras; a esto se suman otros factores condicionantes y particulares como lo son la extensión geográfica jurisdiccional y las condiciones meteorológicas que pudiesen limitar el cumplimiento</w:t>
            </w:r>
          </w:p>
        </w:tc>
        <w:tc>
          <w:tcPr>
            <w:tcW w:w="2694" w:type="dxa"/>
            <w:tcBorders/>
          </w:tcPr>
          <w:p>
            <w:pPr>
              <w:pStyle w:val="Prrafodelista1"/>
              <w:numPr>
                <w:ilvl w:val="0"/>
                <w:numId w:val="9"/>
              </w:numPr>
              <w:spacing w:lineRule="auto" w:line="240" w:before="0" w:after="0"/>
              <w:ind w:left="322" w:hanging="322"/>
              <w:contextualSpacing/>
              <w:jc w:val="both"/>
              <w:rPr>
                <w:rFonts w:ascii="Arial" w:hAnsi="Arial" w:cs="Arial"/>
                <w:sz w:val="24"/>
                <w:szCs w:val="24"/>
              </w:rPr>
            </w:pPr>
            <w:r>
              <w:rPr>
                <w:rFonts w:cs="Arial" w:ascii="Arial" w:hAnsi="Arial"/>
                <w:sz w:val="24"/>
                <w:szCs w:val="24"/>
              </w:rPr>
              <w:t>Plan de Gestión Marítima 2019-2030 de la D.G.T.M. y M.M., “Plan Pacífico”, D.G.T.M. y M.M. Res. N°4651/18 Vrs., de fecha 18 de octubre de 2018.</w:t>
            </w:r>
          </w:p>
          <w:p>
            <w:pPr>
              <w:pStyle w:val="Prrafodelista1"/>
              <w:numPr>
                <w:ilvl w:val="0"/>
                <w:numId w:val="9"/>
              </w:numPr>
              <w:spacing w:lineRule="auto" w:line="240" w:before="0" w:after="0"/>
              <w:ind w:left="322" w:hanging="322"/>
              <w:contextualSpacing/>
              <w:jc w:val="both"/>
              <w:rPr>
                <w:rFonts w:ascii="Arial" w:hAnsi="Arial" w:cs="Arial"/>
                <w:sz w:val="24"/>
                <w:szCs w:val="24"/>
              </w:rPr>
            </w:pPr>
            <w:r>
              <w:rPr>
                <w:rFonts w:cs="Arial" w:ascii="Arial" w:hAnsi="Arial"/>
                <w:sz w:val="24"/>
                <w:szCs w:val="24"/>
              </w:rPr>
              <w:t>Plan de Mediano Plazo 2019-2022 de la D.G.T.M. y M.M., “Plan Mar-Pacífico”, D.G.T.M. y M.M. Res. Nº 3150/ 2 Vrs.</w:t>
            </w:r>
            <w:r>
              <w:rPr/>
              <w:t xml:space="preserve">, </w:t>
            </w:r>
            <w:r>
              <w:rPr>
                <w:rFonts w:cs="Arial" w:ascii="Arial" w:hAnsi="Arial"/>
                <w:sz w:val="24"/>
                <w:szCs w:val="24"/>
              </w:rPr>
              <w:t>de fecha 04 de diciembre de 2018.</w:t>
            </w:r>
          </w:p>
          <w:p>
            <w:pPr>
              <w:pStyle w:val="Prrafodelista1"/>
              <w:numPr>
                <w:ilvl w:val="0"/>
                <w:numId w:val="9"/>
              </w:numPr>
              <w:spacing w:lineRule="auto" w:line="240" w:before="0" w:after="0"/>
              <w:ind w:left="322" w:hanging="322"/>
              <w:contextualSpacing/>
              <w:jc w:val="both"/>
              <w:rPr>
                <w:rFonts w:ascii="Arial" w:hAnsi="Arial" w:cs="Arial"/>
                <w:sz w:val="24"/>
                <w:szCs w:val="24"/>
              </w:rPr>
            </w:pPr>
            <w:r>
              <w:rPr>
                <w:rFonts w:cs="Arial" w:ascii="Arial" w:hAnsi="Arial"/>
                <w:sz w:val="24"/>
                <w:szCs w:val="24"/>
              </w:rPr>
              <w:t>Plan de actividades de la D.G.T.M. y M.M. “PACMAR 2021”, D.G.T.M. y M.M. Res. N° 3195/1 Vrs., de fecha 12 de enero de 2021.</w:t>
            </w:r>
          </w:p>
        </w:tc>
        <w:tc>
          <w:tcPr>
            <w:tcW w:w="2374" w:type="dxa"/>
            <w:tcBorders/>
          </w:tcPr>
          <w:p>
            <w:pPr>
              <w:pStyle w:val="Normal"/>
              <w:spacing w:lineRule="auto" w:line="240" w:before="0" w:after="0"/>
              <w:jc w:val="both"/>
              <w:rPr>
                <w:rFonts w:ascii="Arial" w:hAnsi="Arial" w:cs="Arial"/>
                <w:sz w:val="24"/>
                <w:szCs w:val="24"/>
              </w:rPr>
            </w:pPr>
            <w:r>
              <w:rPr>
                <w:rFonts w:cs="Arial" w:ascii="Arial" w:hAnsi="Arial"/>
                <w:sz w:val="24"/>
                <w:szCs w:val="24"/>
              </w:rPr>
              <w:t>Efectuar un análisis de la planificación y/o programa de actividades, ajustándolo a la realidad presupuestaria, disponibilidad de medios asignados y extensión jurisdiccional, informado al mando operativo, las discrepancias o limitaciones para el cumplimento de los objetivos o metas, si corresponde. Informar el acto administrativo con que se regularizó esta observación.</w:t>
            </w:r>
          </w:p>
          <w:p>
            <w:pPr>
              <w:pStyle w:val="Normal"/>
              <w:spacing w:lineRule="auto" w:line="240" w:before="0" w:after="0"/>
              <w:jc w:val="both"/>
              <w:rPr>
                <w:rFonts w:ascii="Arial" w:hAnsi="Arial" w:cs="Arial"/>
                <w:sz w:val="24"/>
                <w:szCs w:val="24"/>
              </w:rPr>
            </w:pPr>
            <w:r>
              <w:rPr>
                <w:rFonts w:cs="Arial" w:ascii="Arial" w:hAnsi="Arial"/>
                <w:sz w:val="24"/>
                <w:szCs w:val="24"/>
              </w:rPr>
            </w:r>
          </w:p>
        </w:tc>
        <w:tc>
          <w:tcPr>
            <w:tcW w:w="3580"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Se actualizaron las metas del </w:t>
            </w:r>
            <w:r>
              <w:rPr>
                <w:rFonts w:cs="Arial" w:ascii="Arial" w:hAnsi="Arial"/>
                <w:sz w:val="24"/>
                <w:szCs w:val="24"/>
              </w:rPr>
              <w:t>D</w:t>
            </w:r>
            <w:r>
              <w:rPr>
                <w:rFonts w:cs="Arial" w:ascii="Arial" w:hAnsi="Arial"/>
                <w:sz w:val="24"/>
                <w:szCs w:val="24"/>
                <w:lang w:val="es-MX"/>
              </w:rPr>
              <w:t>epartamento</w:t>
            </w:r>
            <w:r>
              <w:rPr>
                <w:rFonts w:cs="Arial" w:ascii="Arial" w:hAnsi="Arial"/>
                <w:sz w:val="24"/>
                <w:szCs w:val="24"/>
              </w:rPr>
              <w:t xml:space="preserve"> INMAR,</w:t>
            </w:r>
            <w:r>
              <w:rPr>
                <w:rFonts w:cs="Arial" w:ascii="Arial" w:hAnsi="Arial"/>
                <w:sz w:val="24"/>
                <w:szCs w:val="24"/>
                <w:lang w:val="es-MX"/>
              </w:rPr>
              <w:t xml:space="preserve"> ajustándolo </w:t>
            </w:r>
            <w:r>
              <w:rPr>
                <w:rFonts w:cs="Arial" w:ascii="Arial" w:hAnsi="Arial"/>
                <w:sz w:val="24"/>
                <w:szCs w:val="24"/>
              </w:rPr>
              <w:t>al presupuesto</w:t>
            </w:r>
            <w:r>
              <w:rPr>
                <w:rFonts w:cs="Arial" w:ascii="Arial" w:hAnsi="Arial"/>
                <w:sz w:val="24"/>
                <w:szCs w:val="24"/>
                <w:lang w:val="es-MX"/>
              </w:rPr>
              <w:t>, disponibilidad de medios y extensión jurisdiccional, reprogramando lo que no se ha efectuado a la fecha.</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Posterior a </w:t>
            </w:r>
            <w:r>
              <w:rPr>
                <w:rFonts w:cs="Arial" w:ascii="Arial" w:hAnsi="Arial"/>
                <w:sz w:val="24"/>
                <w:szCs w:val="24"/>
              </w:rPr>
              <w:t>la Auditoría de Control de Gestión</w:t>
            </w:r>
            <w:r>
              <w:rPr>
                <w:rFonts w:cs="Arial" w:ascii="Arial" w:hAnsi="Arial"/>
                <w:sz w:val="24"/>
                <w:szCs w:val="24"/>
                <w:lang w:val="es-MX"/>
              </w:rPr>
              <w:t xml:space="preserve">, </w:t>
            </w:r>
            <w:r>
              <w:rPr>
                <w:rFonts w:cs="Arial" w:ascii="Arial" w:hAnsi="Arial"/>
                <w:sz w:val="24"/>
                <w:szCs w:val="24"/>
              </w:rPr>
              <w:t>D</w:t>
            </w:r>
            <w:r>
              <w:rPr>
                <w:rFonts w:cs="Arial" w:ascii="Arial" w:hAnsi="Arial"/>
                <w:sz w:val="24"/>
                <w:szCs w:val="24"/>
                <w:lang w:val="es-MX"/>
              </w:rPr>
              <w:t xml:space="preserve">epartamento Borde Costero </w:t>
            </w:r>
            <w:r>
              <w:rPr>
                <w:rFonts w:cs="Arial" w:ascii="Arial" w:hAnsi="Arial"/>
                <w:sz w:val="24"/>
                <w:szCs w:val="24"/>
              </w:rPr>
              <w:t xml:space="preserve">de la DIRINMAR, </w:t>
            </w:r>
            <w:r>
              <w:rPr>
                <w:rFonts w:cs="Arial" w:ascii="Arial" w:hAnsi="Arial"/>
                <w:sz w:val="24"/>
                <w:szCs w:val="24"/>
                <w:lang w:val="es-MX"/>
              </w:rPr>
              <w:t xml:space="preserve">dispuso la modificación del Plan Anual de Fiscalización de CC.MM., según </w:t>
            </w:r>
            <w:r>
              <w:rPr>
                <w:rFonts w:cs="Arial" w:ascii="Arial" w:hAnsi="Arial"/>
                <w:sz w:val="24"/>
                <w:szCs w:val="24"/>
              </w:rPr>
              <w:t xml:space="preserve">MSG DIRINMAR </w:t>
            </w:r>
            <w:r>
              <w:rPr>
                <w:rFonts w:cs="Arial" w:ascii="Arial" w:hAnsi="Arial"/>
                <w:sz w:val="24"/>
                <w:szCs w:val="24"/>
                <w:lang w:val="es-MX"/>
              </w:rPr>
              <w:t xml:space="preserve">111655 </w:t>
            </w:r>
            <w:r>
              <w:rPr>
                <w:rFonts w:cs="Arial" w:ascii="Arial" w:hAnsi="Arial"/>
                <w:sz w:val="24"/>
                <w:szCs w:val="24"/>
              </w:rPr>
              <w:t xml:space="preserve">MAY 2021, </w:t>
            </w:r>
            <w:r>
              <w:rPr>
                <w:rFonts w:cs="Arial" w:ascii="Arial" w:hAnsi="Arial"/>
                <w:sz w:val="24"/>
                <w:szCs w:val="24"/>
                <w:lang w:val="es-MX"/>
              </w:rPr>
              <w:t>disponiendo la fiscalización de a lo menos el  50% anual.</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rPr>
                <w:rFonts w:ascii="Arial" w:hAnsi="Arial" w:cs="Arial"/>
                <w:sz w:val="24"/>
                <w:szCs w:val="24"/>
              </w:rPr>
            </w:pPr>
            <w:r>
              <w:rPr>
                <w:rFonts w:cs="Arial" w:ascii="Arial" w:hAnsi="Arial"/>
                <w:sz w:val="24"/>
                <w:szCs w:val="24"/>
              </w:rPr>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026" w:type="dxa"/>
            <w:tcBorders/>
          </w:tcPr>
          <w:p>
            <w:pPr>
              <w:pStyle w:val="Normal"/>
              <w:tabs>
                <w:tab w:val="clear" w:pos="708"/>
                <w:tab w:val="left" w:pos="719" w:leader="none"/>
              </w:tabs>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6864" w:type="dxa"/>
        <w:jc w:val="center"/>
        <w:tblInd w:w="0" w:type="dxa"/>
        <w:tblCellMar>
          <w:top w:w="0" w:type="dxa"/>
          <w:left w:w="108" w:type="dxa"/>
          <w:bottom w:w="0" w:type="dxa"/>
          <w:right w:w="108" w:type="dxa"/>
        </w:tblCellMar>
        <w:tblLook w:firstRow="1" w:noVBand="1" w:lastRow="0" w:firstColumn="1" w:lastColumn="0" w:noHBand="0" w:val="04a0"/>
      </w:tblPr>
      <w:tblGrid>
        <w:gridCol w:w="566"/>
        <w:gridCol w:w="2693"/>
        <w:gridCol w:w="2695"/>
        <w:gridCol w:w="2408"/>
        <w:gridCol w:w="3543"/>
        <w:gridCol w:w="2832"/>
        <w:gridCol w:w="2126"/>
      </w:tblGrid>
      <w:tr>
        <w:trPr>
          <w:tblHeader w:val="true"/>
        </w:trPr>
        <w:tc>
          <w:tcPr>
            <w:tcW w:w="56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40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54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832" w:type="dxa"/>
            <w:tcBorders/>
          </w:tcPr>
          <w:p>
            <w:pPr>
              <w:pStyle w:val="Normal"/>
              <w:spacing w:lineRule="auto" w:line="240" w:before="0" w:after="0"/>
              <w:ind w:left="-108" w:firstLine="108"/>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26" w:type="dxa"/>
            <w:tcBorders/>
            <w:vAlign w:val="center"/>
          </w:tcPr>
          <w:p>
            <w:pPr>
              <w:pStyle w:val="Normal"/>
              <w:tabs>
                <w:tab w:val="clear" w:pos="708"/>
                <w:tab w:val="left" w:pos="1600" w:leader="none"/>
              </w:tabs>
              <w:spacing w:lineRule="auto" w:line="240" w:before="0" w:after="0"/>
              <w:ind w:left="-108" w:firstLine="108"/>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56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r>
          </w:p>
        </w:tc>
        <w:tc>
          <w:tcPr>
            <w:tcW w:w="2693" w:type="dxa"/>
            <w:tcBorders/>
            <w:vAlign w:val="center"/>
          </w:tcPr>
          <w:p>
            <w:pPr>
              <w:pStyle w:val="Normal"/>
              <w:spacing w:lineRule="auto" w:line="240" w:before="0" w:after="0"/>
              <w:jc w:val="both"/>
              <w:rPr>
                <w:rFonts w:ascii="Arial" w:hAnsi="Arial" w:cs="Arial"/>
                <w:sz w:val="24"/>
                <w:szCs w:val="24"/>
                <w:lang w:eastAsia="es-CL"/>
              </w:rPr>
            </w:pPr>
            <w:r>
              <w:rPr>
                <w:rFonts w:cs="Arial" w:ascii="Arial" w:hAnsi="Arial"/>
                <w:sz w:val="24"/>
                <w:szCs w:val="24"/>
              </w:rPr>
              <w:t>(</w:t>
            </w:r>
            <w:r>
              <w:rPr>
                <w:rFonts w:cs="Arial" w:ascii="Arial" w:hAnsi="Arial"/>
                <w:b/>
                <w:i/>
                <w:sz w:val="24"/>
                <w:szCs w:val="24"/>
              </w:rPr>
              <w:t>conocer la verdadera cobertura y alcance de los objetivos ordenados y/o autoimpuestos, con sus medios asignados</w:t>
            </w:r>
            <w:r>
              <w:rPr>
                <w:rFonts w:cs="Arial" w:ascii="Arial" w:hAnsi="Arial"/>
                <w:sz w:val="24"/>
                <w:szCs w:val="24"/>
              </w:rPr>
              <w:t>). Además, esta situación no habría sido oficializada al mando operativo, pudiendo provocar una distorsión entre las expectativas y el cumplimento, afectando el servicio marítimo y la evaluación del grado de cumplimiento de los objetivos institucionales.</w:t>
            </w:r>
          </w:p>
        </w:tc>
        <w:tc>
          <w:tcPr>
            <w:tcW w:w="2695" w:type="dxa"/>
            <w:tcBorders/>
          </w:tcPr>
          <w:p>
            <w:pPr>
              <w:pStyle w:val="Prrafodelista1"/>
              <w:spacing w:lineRule="auto" w:line="240" w:before="0" w:after="0"/>
              <w:ind w:left="360" w:hanging="360"/>
              <w:contextualSpacing/>
              <w:jc w:val="both"/>
              <w:rPr>
                <w:rFonts w:ascii="Arial" w:hAnsi="Arial" w:cs="Arial"/>
                <w:sz w:val="24"/>
                <w:szCs w:val="24"/>
              </w:rPr>
            </w:pPr>
            <w:r>
              <w:rPr>
                <w:rFonts w:cs="Arial" w:ascii="Arial" w:hAnsi="Arial"/>
                <w:sz w:val="24"/>
                <w:szCs w:val="24"/>
              </w:rPr>
            </w:r>
          </w:p>
        </w:tc>
        <w:tc>
          <w:tcPr>
            <w:tcW w:w="2408" w:type="dxa"/>
            <w:tcBorders/>
            <w:vAlign w:val="center"/>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3543" w:type="dxa"/>
            <w:tcBorders/>
          </w:tcPr>
          <w:p>
            <w:pPr>
              <w:pStyle w:val="Normal"/>
              <w:spacing w:lineRule="auto" w:line="240" w:before="0" w:after="0"/>
              <w:jc w:val="both"/>
              <w:rPr>
                <w:rFonts w:ascii="Arial" w:hAnsi="Arial" w:cs="Arial"/>
                <w:sz w:val="24"/>
                <w:szCs w:val="24"/>
              </w:rPr>
            </w:pPr>
            <w:r>
              <w:rPr>
                <w:rFonts w:cs="Arial" w:ascii="Arial" w:hAnsi="Arial"/>
                <w:sz w:val="24"/>
                <w:szCs w:val="24"/>
                <w:lang w:val="es-MX"/>
              </w:rPr>
              <w:t xml:space="preserve">Mensualmente se solicita </w:t>
            </w:r>
            <w:r>
              <w:rPr>
                <w:rFonts w:cs="Arial" w:ascii="Arial" w:hAnsi="Arial"/>
                <w:sz w:val="24"/>
                <w:szCs w:val="24"/>
              </w:rPr>
              <w:t>vía</w:t>
            </w:r>
            <w:r>
              <w:rPr>
                <w:rFonts w:cs="Arial" w:ascii="Arial" w:hAnsi="Arial"/>
                <w:sz w:val="24"/>
                <w:szCs w:val="24"/>
                <w:lang w:val="es-MX"/>
              </w:rPr>
              <w:t xml:space="preserve"> mensaje a </w:t>
            </w:r>
            <w:r>
              <w:rPr>
                <w:rFonts w:cs="Arial" w:ascii="Arial" w:hAnsi="Arial"/>
                <w:sz w:val="24"/>
                <w:szCs w:val="24"/>
              </w:rPr>
              <w:t xml:space="preserve">la Gobernación Marítima de Aysén </w:t>
            </w:r>
            <w:r>
              <w:rPr>
                <w:rFonts w:cs="Arial" w:ascii="Arial" w:hAnsi="Arial"/>
                <w:sz w:val="24"/>
                <w:szCs w:val="24"/>
                <w:lang w:val="es-MX"/>
              </w:rPr>
              <w:t xml:space="preserve">apoyo de </w:t>
            </w:r>
            <w:r>
              <w:rPr>
                <w:rFonts w:cs="Arial" w:ascii="Arial" w:hAnsi="Arial"/>
                <w:sz w:val="24"/>
                <w:szCs w:val="24"/>
              </w:rPr>
              <w:t>unidad marítima</w:t>
            </w:r>
            <w:r>
              <w:rPr>
                <w:rFonts w:cs="Arial" w:ascii="Arial" w:hAnsi="Arial"/>
                <w:sz w:val="24"/>
                <w:szCs w:val="24"/>
                <w:lang w:val="es-MX"/>
              </w:rPr>
              <w:t xml:space="preserve"> de mayor autonomía, con el propósito de efectuar tareas de </w:t>
            </w:r>
            <w:r>
              <w:rPr>
                <w:rFonts w:cs="Arial" w:ascii="Arial" w:hAnsi="Arial"/>
                <w:sz w:val="24"/>
                <w:szCs w:val="24"/>
              </w:rPr>
              <w:t>fiscalización</w:t>
            </w:r>
            <w:r>
              <w:rPr>
                <w:rFonts w:cs="Arial" w:ascii="Arial" w:hAnsi="Arial"/>
                <w:sz w:val="24"/>
                <w:szCs w:val="24"/>
                <w:lang w:val="es-MX"/>
              </w:rPr>
              <w:t xml:space="preserve"> a CC.MM. y CC.AA. </w:t>
            </w:r>
            <w:r>
              <w:rPr>
                <w:rFonts w:cs="Arial" w:ascii="Arial" w:hAnsi="Arial"/>
                <w:sz w:val="24"/>
                <w:szCs w:val="24"/>
              </w:rPr>
              <w:t>q</w:t>
            </w:r>
            <w:r>
              <w:rPr>
                <w:rFonts w:cs="Arial" w:ascii="Arial" w:hAnsi="Arial"/>
                <w:sz w:val="24"/>
                <w:szCs w:val="24"/>
                <w:lang w:val="es-MX"/>
              </w:rPr>
              <w:t>ue se encuentren en sectores más alejados de la jurisdicción</w:t>
            </w:r>
            <w:r>
              <w:rPr>
                <w:rFonts w:cs="Arial" w:ascii="Arial" w:hAnsi="Arial"/>
                <w:sz w:val="24"/>
                <w:szCs w:val="24"/>
              </w:rPr>
              <w:t>, último mensaje enviado CAPUERTOCHB 221610 JUN 2021.</w:t>
            </w:r>
          </w:p>
          <w:p>
            <w:pPr>
              <w:pStyle w:val="Prrafodelista1"/>
              <w:spacing w:lineRule="auto" w:line="240" w:before="0" w:after="0"/>
              <w:ind w:left="360" w:hanging="360"/>
              <w:contextualSpacing/>
              <w:jc w:val="both"/>
              <w:rPr>
                <w:rFonts w:ascii="Arial" w:hAnsi="Arial" w:cs="Arial"/>
                <w:sz w:val="24"/>
                <w:szCs w:val="24"/>
              </w:rPr>
            </w:pPr>
            <w:r>
              <w:rPr>
                <w:rFonts w:cs="Arial" w:ascii="Arial" w:hAnsi="Arial"/>
                <w:sz w:val="24"/>
                <w:szCs w:val="24"/>
              </w:rPr>
            </w:r>
          </w:p>
        </w:tc>
        <w:tc>
          <w:tcPr>
            <w:tcW w:w="2832" w:type="dxa"/>
            <w:tcBorders/>
            <w:vAlign w:val="center"/>
          </w:tcPr>
          <w:p>
            <w:pPr>
              <w:pStyle w:val="Normal"/>
              <w:spacing w:lineRule="auto" w:line="240" w:before="0" w:after="0"/>
              <w:ind w:left="-108" w:firstLine="108"/>
              <w:jc w:val="both"/>
              <w:rPr>
                <w:rFonts w:ascii="Arial" w:hAnsi="Arial" w:cs="Arial"/>
                <w:sz w:val="24"/>
                <w:szCs w:val="24"/>
                <w:lang w:eastAsia="es-CL"/>
              </w:rPr>
            </w:pPr>
            <w:r>
              <w:rPr>
                <w:rFonts w:cs="Arial" w:ascii="Arial" w:hAnsi="Arial"/>
                <w:sz w:val="24"/>
                <w:szCs w:val="24"/>
                <w:lang w:eastAsia="es-CL"/>
              </w:rPr>
            </w:r>
          </w:p>
        </w:tc>
        <w:tc>
          <w:tcPr>
            <w:tcW w:w="2126" w:type="dxa"/>
            <w:tcBorders/>
          </w:tcPr>
          <w:p>
            <w:pPr>
              <w:pStyle w:val="Normal"/>
              <w:tabs>
                <w:tab w:val="clear" w:pos="708"/>
                <w:tab w:val="left" w:pos="1600" w:leader="none"/>
              </w:tabs>
              <w:spacing w:lineRule="auto" w:line="240" w:before="0" w:after="0"/>
              <w:ind w:left="-108" w:firstLine="108"/>
              <w:jc w:val="both"/>
              <w:rPr>
                <w:rFonts w:ascii="Arial" w:hAnsi="Arial" w:cs="Arial"/>
                <w:sz w:val="24"/>
                <w:szCs w:val="24"/>
                <w:lang w:eastAsia="es-CL"/>
              </w:rPr>
            </w:pPr>
            <w:r>
              <w:rPr>
                <w:rFonts w:cs="Arial" w:ascii="Arial" w:hAnsi="Arial"/>
                <w:sz w:val="24"/>
                <w:szCs w:val="24"/>
                <w:lang w:eastAsia="es-CL"/>
              </w:rPr>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348"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2526"/>
        <w:gridCol w:w="2728"/>
        <w:gridCol w:w="2639"/>
        <w:gridCol w:w="3740"/>
        <w:gridCol w:w="2726"/>
        <w:gridCol w:w="2381"/>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52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72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63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74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726"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381" w:type="dxa"/>
            <w:tcBorders/>
            <w:vAlign w:val="center"/>
          </w:tcPr>
          <w:p>
            <w:pPr>
              <w:pStyle w:val="Normal"/>
              <w:spacing w:lineRule="auto" w:line="240" w:before="0" w:after="0"/>
              <w:ind w:left="-159" w:firstLine="159"/>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526"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Se evidenció que, en el programa de fiscalización del Depto., no se incluyó a las Concesiones de Acuicultura (CC.AA). </w:t>
            </w:r>
          </w:p>
        </w:tc>
        <w:tc>
          <w:tcPr>
            <w:tcW w:w="2728" w:type="dxa"/>
            <w:tcBorders/>
          </w:tcPr>
          <w:p>
            <w:pPr>
              <w:pStyle w:val="Normal"/>
              <w:spacing w:lineRule="auto" w:line="240" w:before="0" w:after="0"/>
              <w:jc w:val="both"/>
              <w:rPr>
                <w:rFonts w:ascii="Arial" w:hAnsi="Arial" w:cs="Arial"/>
                <w:sz w:val="24"/>
                <w:szCs w:val="24"/>
              </w:rPr>
            </w:pPr>
            <w:r>
              <w:rPr>
                <w:rFonts w:cs="Arial" w:ascii="Arial" w:hAnsi="Arial"/>
                <w:sz w:val="24"/>
                <w:szCs w:val="24"/>
              </w:rPr>
              <w:t>Reglamento de concesiones y autorizaciones de acuicultura, D.S. Nº 290, de fecha 28 de mayo de 1993, art. 47° letra c) y 48°.</w:t>
            </w:r>
          </w:p>
        </w:tc>
        <w:tc>
          <w:tcPr>
            <w:tcW w:w="2639" w:type="dxa"/>
            <w:tcBorders/>
          </w:tcPr>
          <w:p>
            <w:pPr>
              <w:pStyle w:val="Normal"/>
              <w:spacing w:lineRule="auto" w:line="240" w:before="0" w:after="0"/>
              <w:jc w:val="both"/>
              <w:rPr>
                <w:rFonts w:ascii="Arial" w:hAnsi="Arial" w:cs="Arial"/>
                <w:sz w:val="24"/>
                <w:szCs w:val="24"/>
              </w:rPr>
            </w:pPr>
            <w:r>
              <w:rPr>
                <w:rFonts w:cs="Arial" w:ascii="Arial" w:hAnsi="Arial"/>
                <w:sz w:val="24"/>
                <w:szCs w:val="24"/>
              </w:rPr>
              <w:t>Modificar el programa de fiscalización, objeto incluir a las CC.AA., de acuerdo a la realidad jurisdiccional y disponibilidad de medios,</w:t>
            </w:r>
            <w:r>
              <w:rPr/>
              <w:t xml:space="preserve"> </w:t>
            </w:r>
            <w:r>
              <w:rPr>
                <w:rFonts w:cs="Arial" w:ascii="Arial" w:hAnsi="Arial"/>
                <w:sz w:val="24"/>
                <w:szCs w:val="24"/>
              </w:rPr>
              <w:t xml:space="preserve">remitiendo el acto administrativo que regulariza esta observación. </w:t>
            </w:r>
          </w:p>
        </w:tc>
        <w:tc>
          <w:tcPr>
            <w:tcW w:w="3740" w:type="dxa"/>
            <w:tcBorders/>
          </w:tcPr>
          <w:p>
            <w:pPr>
              <w:pStyle w:val="Normal"/>
              <w:spacing w:lineRule="auto" w:line="240" w:before="0" w:after="0"/>
              <w:jc w:val="both"/>
              <w:rPr>
                <w:rFonts w:ascii="Arial" w:hAnsi="Arial" w:cs="Arial"/>
                <w:sz w:val="24"/>
                <w:szCs w:val="24"/>
              </w:rPr>
            </w:pPr>
            <w:r>
              <w:rPr>
                <w:rFonts w:cs="Arial" w:ascii="Arial" w:hAnsi="Arial"/>
                <w:sz w:val="24"/>
                <w:szCs w:val="24"/>
                <w:lang w:val="es-MX"/>
              </w:rPr>
              <w:t xml:space="preserve">Plan Nacional de Fiscalización para CC.AA. </w:t>
            </w:r>
            <w:r>
              <w:rPr>
                <w:rFonts w:cs="Arial" w:ascii="Arial" w:hAnsi="Arial"/>
                <w:sz w:val="24"/>
                <w:szCs w:val="24"/>
              </w:rPr>
              <w:t>c</w:t>
            </w:r>
            <w:r>
              <w:rPr>
                <w:rFonts w:cs="Arial" w:ascii="Arial" w:hAnsi="Arial"/>
                <w:sz w:val="24"/>
                <w:szCs w:val="24"/>
                <w:lang w:val="es-MX"/>
              </w:rPr>
              <w:t xml:space="preserve">on instrucciones a las Autoridades </w:t>
            </w:r>
            <w:r>
              <w:rPr>
                <w:rFonts w:cs="Arial" w:ascii="Arial" w:hAnsi="Arial"/>
                <w:sz w:val="24"/>
                <w:szCs w:val="24"/>
              </w:rPr>
              <w:t>M</w:t>
            </w:r>
            <w:r>
              <w:rPr>
                <w:rFonts w:cs="Arial" w:ascii="Arial" w:hAnsi="Arial"/>
                <w:sz w:val="24"/>
                <w:szCs w:val="24"/>
                <w:lang w:val="es-MX"/>
              </w:rPr>
              <w:t xml:space="preserve">arítimas Locales </w:t>
            </w:r>
            <w:r>
              <w:rPr>
                <w:rFonts w:cs="Arial" w:ascii="Arial" w:hAnsi="Arial"/>
                <w:sz w:val="24"/>
                <w:szCs w:val="24"/>
              </w:rPr>
              <w:t>s</w:t>
            </w:r>
            <w:r>
              <w:rPr>
                <w:rFonts w:cs="Arial" w:ascii="Arial" w:hAnsi="Arial"/>
                <w:sz w:val="24"/>
                <w:szCs w:val="24"/>
                <w:lang w:val="es-MX"/>
              </w:rPr>
              <w:t xml:space="preserve">erá remitido oficialmente por DIRINMAR, el cual se encuentra en proceso de firma </w:t>
            </w:r>
            <w:r>
              <w:rPr>
                <w:rFonts w:cs="Arial" w:ascii="Arial" w:hAnsi="Arial"/>
                <w:sz w:val="24"/>
                <w:szCs w:val="24"/>
              </w:rPr>
              <w:t>por el</w:t>
            </w:r>
            <w:r>
              <w:rPr>
                <w:rFonts w:cs="Arial" w:ascii="Arial" w:hAnsi="Arial"/>
                <w:sz w:val="24"/>
                <w:szCs w:val="24"/>
                <w:lang w:val="es-MX"/>
              </w:rPr>
              <w:t xml:space="preserve"> Sr. Almirante</w:t>
            </w:r>
            <w:r>
              <w:rPr>
                <w:rFonts w:cs="Arial" w:ascii="Arial" w:hAnsi="Arial"/>
                <w:sz w:val="24"/>
                <w:szCs w:val="24"/>
              </w:rPr>
              <w:t xml:space="preserve">, según lo informado </w:t>
            </w:r>
            <w:r>
              <w:rPr>
                <w:rFonts w:cs="Arial" w:ascii="Arial" w:hAnsi="Arial"/>
                <w:sz w:val="24"/>
                <w:szCs w:val="24"/>
                <w:lang w:val="es-MX"/>
              </w:rPr>
              <w:t xml:space="preserve">por Encargado de CCC.MM. de la Gobernación Marítima de Aysén, </w:t>
            </w:r>
            <w:r>
              <w:rPr>
                <w:rFonts w:cs="Arial" w:ascii="Arial" w:hAnsi="Arial"/>
                <w:sz w:val="24"/>
                <w:szCs w:val="24"/>
              </w:rPr>
              <w:t>luego de consultar</w:t>
            </w:r>
            <w:r>
              <w:rPr>
                <w:rFonts w:cs="Arial" w:ascii="Arial" w:hAnsi="Arial"/>
                <w:sz w:val="24"/>
                <w:szCs w:val="24"/>
                <w:lang w:val="es-MX"/>
              </w:rPr>
              <w:t xml:space="preserve"> al Depto. Borde Costero </w:t>
            </w:r>
            <w:r>
              <w:rPr>
                <w:rFonts w:cs="Arial" w:ascii="Arial" w:hAnsi="Arial"/>
                <w:sz w:val="24"/>
                <w:szCs w:val="24"/>
              </w:rPr>
              <w:t xml:space="preserve">de la DIRINMAR, </w:t>
            </w:r>
            <w:r>
              <w:rPr>
                <w:rFonts w:cs="Arial" w:ascii="Arial" w:hAnsi="Arial"/>
                <w:sz w:val="24"/>
                <w:szCs w:val="24"/>
                <w:lang w:val="es-MX"/>
              </w:rPr>
              <w:t xml:space="preserve">según correo electrónico de </w:t>
            </w:r>
            <w:hyperlink r:id="rId2">
              <w:r>
                <w:rPr>
                  <w:rStyle w:val="EnlacedeInternet"/>
                  <w:rFonts w:cs="Arial" w:ascii="Arial" w:hAnsi="Arial"/>
                  <w:sz w:val="24"/>
                  <w:szCs w:val="24"/>
                  <w:lang w:val="es-MX"/>
                </w:rPr>
                <w:t>eyanez@dgtm.cl</w:t>
              </w:r>
            </w:hyperlink>
            <w:r>
              <w:rPr>
                <w:rStyle w:val="EnlacedeInternet"/>
                <w:rFonts w:cs="Arial" w:ascii="Arial" w:hAnsi="Arial"/>
                <w:sz w:val="24"/>
                <w:szCs w:val="24"/>
                <w:lang w:val="es-MX"/>
              </w:rPr>
              <w:t>,</w:t>
            </w:r>
            <w:r>
              <w:rPr>
                <w:rFonts w:cs="Arial" w:ascii="Arial" w:hAnsi="Arial"/>
                <w:sz w:val="24"/>
                <w:szCs w:val="24"/>
                <w:lang w:val="es-MX"/>
              </w:rPr>
              <w:t xml:space="preserve"> de fecha 1 de junio de 2021</w:t>
            </w:r>
            <w:r>
              <w:rPr>
                <w:rFonts w:cs="Arial" w:ascii="Arial" w:hAnsi="Arial"/>
                <w:sz w:val="24"/>
                <w:szCs w:val="24"/>
              </w:rPr>
              <w:t xml:space="preserve">. </w:t>
            </w:r>
          </w:p>
          <w:p>
            <w:pPr>
              <w:pStyle w:val="Normal"/>
              <w:spacing w:lineRule="auto" w:line="240" w:before="0" w:after="0"/>
              <w:jc w:val="both"/>
              <w:rPr>
                <w:rFonts w:ascii="Arial" w:hAnsi="Arial" w:cs="Arial"/>
                <w:sz w:val="24"/>
                <w:szCs w:val="24"/>
                <w:lang w:val="es-MX"/>
              </w:rPr>
            </w:pPr>
            <w:r>
              <w:rPr>
                <w:rFonts w:cs="Arial" w:ascii="Arial" w:hAnsi="Arial"/>
                <w:sz w:val="24"/>
                <w:szCs w:val="24"/>
              </w:rPr>
              <w:t>Se adjunta correo, como referencia, en anexo “E”.</w:t>
            </w:r>
          </w:p>
        </w:tc>
        <w:tc>
          <w:tcPr>
            <w:tcW w:w="2726" w:type="dxa"/>
            <w:tcBorders/>
            <w:vAlign w:val="center"/>
          </w:tcPr>
          <w:p>
            <w:pPr>
              <w:pStyle w:val="Normal"/>
              <w:spacing w:lineRule="auto" w:line="240" w:before="0" w:after="0"/>
              <w:jc w:val="center"/>
              <w:rPr>
                <w:rFonts w:ascii="Arial" w:hAnsi="Arial" w:cs="Arial"/>
                <w:b/>
                <w:b/>
                <w:sz w:val="24"/>
                <w:szCs w:val="24"/>
                <w:lang w:val="es-MX" w:eastAsia="es-CL"/>
              </w:rPr>
            </w:pPr>
            <w:r>
              <w:rPr>
                <w:rFonts w:cs="Arial" w:ascii="Arial" w:hAnsi="Arial"/>
                <w:b/>
                <w:sz w:val="24"/>
                <w:szCs w:val="24"/>
                <w:lang w:val="es-MX" w:eastAsia="es-CL"/>
              </w:rPr>
              <w:t>PENDIENTE</w:t>
            </w:r>
          </w:p>
          <w:p>
            <w:pPr>
              <w:pStyle w:val="Normal"/>
              <w:spacing w:lineRule="auto" w:line="240" w:before="0" w:after="0"/>
              <w:jc w:val="both"/>
              <w:rPr>
                <w:rFonts w:ascii="Arial" w:hAnsi="Arial" w:cs="Arial"/>
                <w:sz w:val="24"/>
                <w:szCs w:val="24"/>
                <w:lang w:val="es-MX" w:eastAsia="es-CL"/>
              </w:rPr>
            </w:pPr>
            <w:r>
              <w:rPr>
                <w:rFonts w:cs="Arial" w:ascii="Arial" w:hAnsi="Arial"/>
                <w:sz w:val="24"/>
                <w:szCs w:val="24"/>
                <w:lang w:val="es-MX" w:eastAsia="es-CL"/>
              </w:rPr>
              <w:t>Hasta que no se publique el Plan Nacional de Fiscalización de CC.AA., esa Capuerto debe tener un Plan Local, remitir copia de este plan local.</w:t>
            </w:r>
          </w:p>
        </w:tc>
        <w:tc>
          <w:tcPr>
            <w:tcW w:w="2381" w:type="dxa"/>
            <w:tcBorders/>
          </w:tcPr>
          <w:p>
            <w:pPr>
              <w:pStyle w:val="Normal"/>
              <w:spacing w:lineRule="auto" w:line="240" w:before="0" w:after="0"/>
              <w:ind w:right="65" w:hanging="0"/>
              <w:jc w:val="both"/>
              <w:rPr>
                <w:rFonts w:ascii="Arial" w:hAnsi="Arial" w:cs="Arial"/>
                <w:sz w:val="24"/>
                <w:szCs w:val="24"/>
                <w:lang w:val="es-MX" w:eastAsia="es-CL"/>
              </w:rPr>
            </w:pPr>
            <w:r>
              <w:rPr>
                <w:rFonts w:cs="Arial" w:ascii="Arial" w:hAnsi="Arial"/>
                <w:sz w:val="24"/>
                <w:szCs w:val="24"/>
                <w:lang w:val="es-MX" w:eastAsia="es-CL"/>
              </w:rPr>
              <w:t>Se confeccionó el “Plan de Fiscalización de Concesiones de Acuicultura en la jurisdicción de la Capitanía de Puerto de Puerto Chacabuco”,C.P.CHB. ORD. N° 12200/263 , de fecha 14 de diciembre de 2021. Se adjunta en Anexo “E” copia del citado Plan.</w:t>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593" w:type="dxa"/>
        <w:jc w:val="center"/>
        <w:tblInd w:w="0" w:type="dxa"/>
        <w:tblCellMar>
          <w:top w:w="0" w:type="dxa"/>
          <w:left w:w="108" w:type="dxa"/>
          <w:bottom w:w="0" w:type="dxa"/>
          <w:right w:w="108" w:type="dxa"/>
        </w:tblCellMar>
        <w:tblLook w:firstRow="1" w:noVBand="1" w:lastRow="0" w:firstColumn="1" w:lastColumn="0" w:noHBand="0" w:val="04a0"/>
      </w:tblPr>
      <w:tblGrid>
        <w:gridCol w:w="677"/>
        <w:gridCol w:w="2584"/>
        <w:gridCol w:w="2694"/>
        <w:gridCol w:w="2892"/>
        <w:gridCol w:w="3684"/>
        <w:gridCol w:w="2693"/>
        <w:gridCol w:w="2368"/>
      </w:tblGrid>
      <w:tr>
        <w:trPr>
          <w:tblHeader w:val="true"/>
        </w:trPr>
        <w:tc>
          <w:tcPr>
            <w:tcW w:w="67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58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9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68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368" w:type="dxa"/>
            <w:tcBorders/>
            <w:vAlign w:val="center"/>
          </w:tcPr>
          <w:p>
            <w:pPr>
              <w:pStyle w:val="Normal"/>
              <w:tabs>
                <w:tab w:val="clear" w:pos="708"/>
                <w:tab w:val="left" w:pos="380" w:leader="none"/>
                <w:tab w:val="left" w:pos="1167" w:leader="none"/>
              </w:tabs>
              <w:spacing w:lineRule="auto" w:line="240" w:before="0" w:after="0"/>
              <w:ind w:left="123" w:hanging="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3867" w:hRule="atLeast"/>
        </w:trPr>
        <w:tc>
          <w:tcPr>
            <w:tcW w:w="67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584" w:type="dxa"/>
            <w:tcBorders/>
          </w:tcPr>
          <w:p>
            <w:pPr>
              <w:pStyle w:val="Normal"/>
              <w:spacing w:lineRule="auto" w:line="240" w:before="0" w:after="0"/>
              <w:jc w:val="both"/>
              <w:rPr>
                <w:rFonts w:ascii="Arial" w:hAnsi="Arial" w:cs="Arial"/>
                <w:sz w:val="24"/>
                <w:szCs w:val="24"/>
              </w:rPr>
            </w:pPr>
            <w:r>
              <w:rPr>
                <w:rFonts w:cs="Arial" w:ascii="Arial" w:hAnsi="Arial"/>
                <w:sz w:val="24"/>
                <w:szCs w:val="24"/>
              </w:rPr>
              <w:t>Falta de oportunidad para establecer la trazabilidad de los patrullajes efectuados del mes de abril, respecto a planificación y ejecución, ejemplo: “</w:t>
            </w:r>
            <w:r>
              <w:rPr>
                <w:rFonts w:cs="Arial" w:ascii="Arial" w:hAnsi="Arial"/>
                <w:i/>
                <w:sz w:val="24"/>
                <w:szCs w:val="24"/>
              </w:rPr>
              <w:t>En el control del Jefe de Dpto. de INMAR se registraba como efectuado un patrullaje programado para el 09 de abril, sin embargo, no se pudo establecer claramente la ejecución de él, por medio de ORVIA o bitácora del Cabo de Guardia”</w:t>
            </w:r>
            <w:r>
              <w:rPr>
                <w:rFonts w:cs="Arial" w:ascii="Arial" w:hAnsi="Arial"/>
                <w:sz w:val="24"/>
                <w:szCs w:val="24"/>
              </w:rPr>
              <w:t xml:space="preserve">.  </w:t>
            </w:r>
          </w:p>
        </w:tc>
        <w:tc>
          <w:tcPr>
            <w:tcW w:w="2694" w:type="dxa"/>
            <w:tcBorders/>
          </w:tcPr>
          <w:p>
            <w:pPr>
              <w:pStyle w:val="Normal"/>
              <w:spacing w:lineRule="auto" w:line="240" w:before="0" w:after="0"/>
              <w:jc w:val="both"/>
              <w:rPr>
                <w:rFonts w:ascii="Arial" w:hAnsi="Arial" w:cs="Arial"/>
                <w:sz w:val="24"/>
                <w:szCs w:val="24"/>
              </w:rPr>
            </w:pPr>
            <w:r>
              <w:rPr>
                <w:rFonts w:cs="Arial" w:ascii="Arial" w:hAnsi="Arial"/>
                <w:sz w:val="24"/>
                <w:szCs w:val="24"/>
              </w:rPr>
              <w:t>Resolución D.G.T.M. y M.M. Ord. N° 6560/1 Vrs., de fecha 26 de enero de 2011, Manual de Organización y Operaciones de Gobernaciones Marítimas y Capitanías de Puerto, art. 1019°, letra F.-.</w:t>
            </w:r>
          </w:p>
        </w:tc>
        <w:tc>
          <w:tcPr>
            <w:tcW w:w="2892" w:type="dxa"/>
            <w:tcBorders/>
          </w:tcPr>
          <w:p>
            <w:pPr>
              <w:pStyle w:val="Prrafodelista1"/>
              <w:numPr>
                <w:ilvl w:val="0"/>
                <w:numId w:val="10"/>
              </w:numPr>
              <w:spacing w:lineRule="auto" w:line="240" w:before="0" w:after="0"/>
              <w:ind w:left="459" w:hanging="426"/>
              <w:contextualSpacing/>
              <w:jc w:val="both"/>
              <w:rPr>
                <w:rFonts w:ascii="Arial" w:hAnsi="Arial" w:cs="Arial"/>
                <w:sz w:val="24"/>
                <w:szCs w:val="24"/>
              </w:rPr>
            </w:pPr>
            <w:r>
              <w:rPr>
                <w:rFonts w:cs="Arial" w:ascii="Arial" w:hAnsi="Arial"/>
                <w:sz w:val="24"/>
                <w:szCs w:val="24"/>
              </w:rPr>
              <w:t>Establecer, por medio de documento, el procedimiento desde que se genera la necesidad de un patrullaje, se hace el requerimiento al Dpto. de Operaciones, se concreta y se registra en Aplicación POLMAR, (patrullaje terrestre o marítimo), debiendo ser claramente trazable el “qué”, “cómo”, “cuándo”, “quienes” y “resultado”; remitiendo copia del acto administrativo que regulariza esta observación.</w:t>
            </w:r>
          </w:p>
          <w:p>
            <w:pPr>
              <w:pStyle w:val="Prrafodelista1"/>
              <w:numPr>
                <w:ilvl w:val="0"/>
                <w:numId w:val="10"/>
              </w:numPr>
              <w:spacing w:lineRule="auto" w:line="240" w:before="0" w:after="0"/>
              <w:ind w:left="459" w:hanging="426"/>
              <w:contextualSpacing/>
              <w:jc w:val="both"/>
              <w:rPr>
                <w:rFonts w:ascii="Arial" w:hAnsi="Arial" w:cs="Arial"/>
                <w:sz w:val="24"/>
                <w:szCs w:val="24"/>
              </w:rPr>
            </w:pPr>
            <w:r>
              <w:rPr>
                <w:rFonts w:cs="Arial" w:ascii="Arial" w:hAnsi="Arial"/>
                <w:sz w:val="24"/>
                <w:szCs w:val="24"/>
              </w:rPr>
              <w:t xml:space="preserve">Investigar la falta de trazabilidad e informar motivos de la ocurrencia de esta observación. </w:t>
            </w:r>
          </w:p>
        </w:tc>
        <w:tc>
          <w:tcPr>
            <w:tcW w:w="3684" w:type="dxa"/>
            <w:tcBorders/>
          </w:tcPr>
          <w:p>
            <w:pPr>
              <w:pStyle w:val="ListParagraph"/>
              <w:numPr>
                <w:ilvl w:val="1"/>
                <w:numId w:val="17"/>
              </w:numPr>
              <w:spacing w:lineRule="auto" w:line="240" w:before="0" w:after="0"/>
              <w:ind w:left="459" w:hanging="425"/>
              <w:contextualSpacing/>
              <w:jc w:val="both"/>
              <w:rPr>
                <w:rFonts w:ascii="Arial" w:hAnsi="Arial" w:cs="Arial"/>
                <w:sz w:val="24"/>
                <w:szCs w:val="24"/>
              </w:rPr>
            </w:pPr>
            <w:r>
              <w:rPr>
                <w:rFonts w:cs="Arial" w:ascii="Arial" w:hAnsi="Arial"/>
                <w:sz w:val="24"/>
                <w:szCs w:val="24"/>
                <w:lang w:val="es-MX"/>
              </w:rPr>
              <w:t xml:space="preserve">Se actualizó O.P.I N° 300/09, de fecha 1 de julio de 2021, la cual dispone actividades de patrullajes marítimos, incluyendo en esta cuando se genera una necesidad del </w:t>
            </w:r>
            <w:r>
              <w:rPr>
                <w:rFonts w:cs="Arial" w:ascii="Arial" w:hAnsi="Arial"/>
                <w:sz w:val="24"/>
                <w:szCs w:val="24"/>
              </w:rPr>
              <w:t>D</w:t>
            </w:r>
            <w:r>
              <w:rPr>
                <w:rFonts w:cs="Arial" w:ascii="Arial" w:hAnsi="Arial"/>
                <w:sz w:val="24"/>
                <w:szCs w:val="24"/>
                <w:lang w:val="es-MX"/>
              </w:rPr>
              <w:t>epartamento</w:t>
            </w:r>
            <w:r>
              <w:rPr>
                <w:rFonts w:cs="Arial" w:ascii="Arial" w:hAnsi="Arial"/>
                <w:sz w:val="24"/>
                <w:szCs w:val="24"/>
              </w:rPr>
              <w:t xml:space="preserve"> INMAR,</w:t>
            </w:r>
            <w:r>
              <w:rPr>
                <w:rFonts w:cs="Arial" w:ascii="Arial" w:hAnsi="Arial"/>
                <w:sz w:val="24"/>
                <w:szCs w:val="24"/>
                <w:lang w:val="es-MX"/>
              </w:rPr>
              <w:t xml:space="preserve"> además de las obligaciones de cada </w:t>
            </w:r>
            <w:r>
              <w:rPr>
                <w:rFonts w:cs="Arial" w:ascii="Arial" w:hAnsi="Arial"/>
                <w:sz w:val="24"/>
                <w:szCs w:val="24"/>
              </w:rPr>
              <w:t>D</w:t>
            </w:r>
            <w:r>
              <w:rPr>
                <w:rFonts w:cs="Arial" w:ascii="Arial" w:hAnsi="Arial"/>
                <w:sz w:val="24"/>
                <w:szCs w:val="24"/>
                <w:lang w:val="es-MX"/>
              </w:rPr>
              <w:t>epartamento, Jefes de Patrullas, Jefes de Guardia y Cabos de Guardia, objeto garantizar la trazabilidad. Se adjunta en el anexo “E” de la citada O.P.I.</w:t>
            </w:r>
          </w:p>
          <w:p>
            <w:pPr>
              <w:pStyle w:val="ListParagraph"/>
              <w:numPr>
                <w:ilvl w:val="0"/>
                <w:numId w:val="17"/>
              </w:numPr>
              <w:spacing w:lineRule="auto" w:line="240" w:before="0" w:after="0"/>
              <w:ind w:left="459" w:hanging="425"/>
              <w:contextualSpacing/>
              <w:jc w:val="both"/>
              <w:rPr>
                <w:rFonts w:ascii="Arial" w:hAnsi="Arial" w:cs="Arial"/>
                <w:sz w:val="24"/>
                <w:szCs w:val="24"/>
                <w:lang w:val="es-MX"/>
              </w:rPr>
            </w:pPr>
            <w:r>
              <w:rPr>
                <w:rFonts w:cs="Arial" w:ascii="Arial" w:hAnsi="Arial"/>
                <w:sz w:val="24"/>
                <w:szCs w:val="24"/>
                <w:lang w:val="es-MX"/>
              </w:rPr>
              <w:t>La falta de trazabilidad se debió a mala información entregada</w:t>
            </w:r>
            <w:r>
              <w:rPr>
                <w:rFonts w:cs="Arial" w:ascii="Arial" w:hAnsi="Arial"/>
                <w:sz w:val="24"/>
                <w:szCs w:val="24"/>
              </w:rPr>
              <w:t xml:space="preserve"> al Auditor,</w:t>
            </w:r>
            <w:r>
              <w:rPr>
                <w:rFonts w:cs="Arial" w:ascii="Arial" w:hAnsi="Arial"/>
                <w:sz w:val="24"/>
                <w:szCs w:val="24"/>
                <w:lang w:val="es-MX"/>
              </w:rPr>
              <w:t xml:space="preserve"> </w:t>
            </w:r>
            <w:r>
              <w:rPr>
                <w:rFonts w:cs="Arial" w:ascii="Arial" w:hAnsi="Arial"/>
                <w:sz w:val="24"/>
                <w:szCs w:val="24"/>
              </w:rPr>
              <w:t>ya que actividad planificada no fue realizada, por lo tanto  no se encontraba registrada en ningún documento o bitácora, además</w:t>
            </w:r>
            <w:r>
              <w:rPr>
                <w:rFonts w:cs="Arial" w:ascii="Arial" w:hAnsi="Arial"/>
                <w:sz w:val="24"/>
                <w:szCs w:val="24"/>
                <w:lang w:val="es-MX"/>
              </w:rPr>
              <w:t xml:space="preserve"> </w:t>
            </w:r>
            <w:r>
              <w:rPr>
                <w:rFonts w:cs="Arial" w:ascii="Arial" w:hAnsi="Arial"/>
                <w:sz w:val="24"/>
                <w:szCs w:val="24"/>
              </w:rPr>
              <w:t xml:space="preserve">por </w:t>
            </w:r>
            <w:r>
              <w:rPr>
                <w:rFonts w:cs="Arial" w:ascii="Arial" w:hAnsi="Arial"/>
                <w:sz w:val="24"/>
                <w:szCs w:val="24"/>
                <w:lang w:val="es-MX"/>
              </w:rPr>
              <w:t>no</w:t>
            </w:r>
            <w:r>
              <w:rPr>
                <w:rFonts w:cs="Arial" w:ascii="Arial" w:hAnsi="Arial"/>
                <w:sz w:val="24"/>
                <w:szCs w:val="24"/>
              </w:rPr>
              <w:t xml:space="preserve"> haber</w:t>
            </w:r>
            <w:r>
              <w:rPr>
                <w:rFonts w:cs="Arial" w:ascii="Arial" w:hAnsi="Arial"/>
                <w:sz w:val="24"/>
                <w:szCs w:val="24"/>
                <w:lang w:val="es-MX"/>
              </w:rPr>
              <w:t xml:space="preserve"> re</w:t>
            </w:r>
            <w:r>
              <w:rPr>
                <w:rFonts w:cs="Arial" w:ascii="Arial" w:hAnsi="Arial"/>
                <w:sz w:val="24"/>
                <w:szCs w:val="24"/>
              </w:rPr>
              <w:t>programado</w:t>
            </w:r>
            <w:r>
              <w:rPr>
                <w:rFonts w:cs="Arial" w:ascii="Arial" w:hAnsi="Arial"/>
                <w:sz w:val="24"/>
                <w:szCs w:val="24"/>
                <w:lang w:val="es-MX"/>
              </w:rPr>
              <w:t xml:space="preserve"> </w:t>
            </w:r>
            <w:r>
              <w:rPr>
                <w:rFonts w:cs="Arial" w:ascii="Arial" w:hAnsi="Arial"/>
                <w:sz w:val="24"/>
                <w:szCs w:val="24"/>
              </w:rPr>
              <w:t>la actividad</w:t>
            </w:r>
            <w:r>
              <w:rPr>
                <w:rFonts w:cs="Arial" w:ascii="Arial" w:hAnsi="Arial"/>
                <w:sz w:val="24"/>
                <w:szCs w:val="24"/>
                <w:lang w:val="es-MX"/>
              </w:rPr>
              <w:t xml:space="preserve"> por parte del Jefe de Departamento.</w:t>
            </w:r>
          </w:p>
        </w:tc>
        <w:tc>
          <w:tcPr>
            <w:tcW w:w="2693" w:type="dxa"/>
            <w:tcBorders/>
            <w:vAlign w:val="center"/>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t>SUPERADA</w:t>
            </w:r>
          </w:p>
        </w:tc>
        <w:tc>
          <w:tcPr>
            <w:tcW w:w="2368" w:type="dxa"/>
            <w:tcBorders/>
          </w:tcPr>
          <w:p>
            <w:pPr>
              <w:pStyle w:val="Normal"/>
              <w:tabs>
                <w:tab w:val="clear" w:pos="708"/>
                <w:tab w:val="left" w:pos="380" w:leader="none"/>
                <w:tab w:val="left" w:pos="1167" w:leader="none"/>
              </w:tabs>
              <w:spacing w:lineRule="auto" w:line="240" w:before="0" w:after="0"/>
              <w:ind w:left="-920" w:firstLine="920"/>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027" w:type="dxa"/>
        <w:jc w:val="center"/>
        <w:tblInd w:w="0" w:type="dxa"/>
        <w:tblCellMar>
          <w:top w:w="0" w:type="dxa"/>
          <w:left w:w="108" w:type="dxa"/>
          <w:bottom w:w="0" w:type="dxa"/>
          <w:right w:w="108" w:type="dxa"/>
        </w:tblCellMar>
        <w:tblLook w:firstRow="1" w:noVBand="1" w:lastRow="0" w:firstColumn="1" w:lastColumn="0" w:noHBand="0" w:val="04a0"/>
      </w:tblPr>
      <w:tblGrid>
        <w:gridCol w:w="510"/>
        <w:gridCol w:w="2057"/>
        <w:gridCol w:w="1832"/>
        <w:gridCol w:w="2835"/>
        <w:gridCol w:w="2835"/>
        <w:gridCol w:w="2977"/>
        <w:gridCol w:w="3980"/>
      </w:tblGrid>
      <w:tr>
        <w:trPr>
          <w:tblHeader w:val="true"/>
        </w:trPr>
        <w:tc>
          <w:tcPr>
            <w:tcW w:w="510"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w:t>
            </w:r>
          </w:p>
        </w:tc>
        <w:tc>
          <w:tcPr>
            <w:tcW w:w="205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183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2835" w:type="dxa"/>
            <w:tcBorders/>
            <w:vAlign w:val="center"/>
          </w:tcPr>
          <w:p>
            <w:pPr>
              <w:pStyle w:val="Normal"/>
              <w:spacing w:lineRule="auto" w:line="240" w:before="0" w:after="0"/>
              <w:ind w:hanging="1106"/>
              <w:jc w:val="center"/>
              <w:rPr>
                <w:rFonts w:ascii="Arial" w:hAnsi="Arial" w:cs="Arial"/>
                <w:b/>
                <w:b/>
                <w:sz w:val="24"/>
                <w:szCs w:val="24"/>
                <w:lang w:val="es-MX"/>
              </w:rPr>
            </w:pPr>
            <w:r>
              <w:rPr>
                <w:rFonts w:cs="Arial" w:ascii="Arial" w:hAnsi="Arial"/>
                <w:b/>
                <w:sz w:val="24"/>
                <w:szCs w:val="24"/>
                <w:lang w:val="es-MX"/>
              </w:rPr>
              <w:t>RESPUESTA</w:t>
            </w:r>
          </w:p>
        </w:tc>
        <w:tc>
          <w:tcPr>
            <w:tcW w:w="297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 A LAS RESPUESTAS DEL ORG.INSPECCIONADO</w:t>
            </w:r>
          </w:p>
        </w:tc>
        <w:tc>
          <w:tcPr>
            <w:tcW w:w="398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3046" w:type="dxa"/>
            <w:gridSpan w:val="6"/>
            <w:tcBorders/>
            <w:shd w:color="auto" w:fill="auto" w:val="clear"/>
          </w:tcPr>
          <w:p>
            <w:pPr>
              <w:pStyle w:val="Normal"/>
              <w:spacing w:lineRule="auto" w:line="240" w:before="0" w:after="0"/>
              <w:jc w:val="both"/>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p>
            <w:pPr>
              <w:pStyle w:val="Normal"/>
              <w:spacing w:lineRule="auto" w:line="240" w:before="0" w:after="0"/>
              <w:rPr>
                <w:rFonts w:ascii="Arial" w:hAnsi="Arial" w:cs="Arial"/>
                <w:b/>
                <w:b/>
                <w:sz w:val="16"/>
                <w:szCs w:val="16"/>
              </w:rPr>
            </w:pPr>
            <w:r>
              <w:rPr>
                <w:rFonts w:cs="Arial" w:ascii="Arial" w:hAnsi="Arial"/>
                <w:b/>
                <w:sz w:val="24"/>
                <w:szCs w:val="24"/>
              </w:rPr>
              <w:t>División de Registro e Inspecciones de Naves y Artefactos Navales Menores.</w:t>
            </w:r>
          </w:p>
        </w:tc>
        <w:tc>
          <w:tcPr>
            <w:tcW w:w="3980" w:type="dxa"/>
            <w:tcBorders/>
          </w:tcPr>
          <w:p>
            <w:pPr>
              <w:pStyle w:val="Normal"/>
              <w:spacing w:lineRule="auto" w:line="240" w:before="0" w:after="0"/>
              <w:jc w:val="both"/>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tc>
      </w:tr>
      <w:tr>
        <w:trPr>
          <w:tblHeader w:val="true"/>
          <w:trHeight w:val="580" w:hRule="atLeast"/>
        </w:trPr>
        <w:tc>
          <w:tcPr>
            <w:tcW w:w="510"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a)</w:t>
            </w:r>
          </w:p>
        </w:tc>
        <w:tc>
          <w:tcPr>
            <w:tcW w:w="2057"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Se evidenció discrepancias entre la cantidad de naves inscritas, informadas por el encargado versus lo que muestra el “catálogo de naves menores en intranet”, de acuerdo a lo siguiente: Total naves inscritas: 2222 (en catálogo 2198.) </w:t>
            </w:r>
          </w:p>
        </w:tc>
        <w:tc>
          <w:tcPr>
            <w:tcW w:w="1832" w:type="dxa"/>
            <w:tcBorders/>
          </w:tcPr>
          <w:p>
            <w:pPr>
              <w:pStyle w:val="Normal"/>
              <w:spacing w:lineRule="auto" w:line="240" w:before="0" w:after="0"/>
              <w:jc w:val="both"/>
              <w:rPr>
                <w:rFonts w:ascii="Arial" w:hAnsi="Arial" w:cs="Arial"/>
                <w:sz w:val="24"/>
                <w:szCs w:val="24"/>
              </w:rPr>
            </w:pPr>
            <w:r>
              <w:rPr>
                <w:rFonts w:cs="Arial" w:ascii="Arial" w:hAnsi="Arial"/>
                <w:sz w:val="24"/>
                <w:szCs w:val="24"/>
              </w:rPr>
              <w:t>D.S. (M) N˚ 163, de fecha 02 de febrero de 1981, Aprueba el Reglamento del registro de naves y artefactos navales.</w:t>
            </w:r>
          </w:p>
        </w:tc>
        <w:tc>
          <w:tcPr>
            <w:tcW w:w="2835" w:type="dxa"/>
            <w:tcBorders/>
            <w:shd w:color="auto" w:fill="auto" w:val="clear"/>
          </w:tcPr>
          <w:p>
            <w:pPr>
              <w:pStyle w:val="Prrafodelista1"/>
              <w:numPr>
                <w:ilvl w:val="0"/>
                <w:numId w:val="11"/>
              </w:numPr>
              <w:spacing w:lineRule="auto" w:line="240" w:before="0" w:after="0"/>
              <w:ind w:left="459" w:hanging="426"/>
              <w:contextualSpacing/>
              <w:jc w:val="both"/>
              <w:rPr>
                <w:rFonts w:ascii="Arial" w:hAnsi="Arial" w:cs="Arial"/>
                <w:sz w:val="24"/>
                <w:szCs w:val="24"/>
              </w:rPr>
            </w:pPr>
            <w:r>
              <w:rPr>
                <w:rFonts w:cs="Arial" w:ascii="Arial" w:hAnsi="Arial"/>
                <w:sz w:val="24"/>
                <w:szCs w:val="24"/>
              </w:rPr>
              <w:t>Efectuar revisión y corrección de cifras entregadas, debiendo ser la misma cantidad que figura en: el catálogo de naves menores en intranet, en el control del encargado y las inscritas en los Libros de Registro de Naves Menores;</w:t>
            </w:r>
            <w:r>
              <w:rPr/>
              <w:t xml:space="preserve"> </w:t>
            </w:r>
            <w:r>
              <w:rPr>
                <w:rFonts w:cs="Arial" w:ascii="Arial" w:hAnsi="Arial"/>
                <w:sz w:val="24"/>
                <w:szCs w:val="24"/>
              </w:rPr>
              <w:t>informando las cantidades reales para regularizar esta observación.</w:t>
            </w:r>
          </w:p>
          <w:p>
            <w:pPr>
              <w:pStyle w:val="Prrafodelista1"/>
              <w:numPr>
                <w:ilvl w:val="0"/>
                <w:numId w:val="11"/>
              </w:numPr>
              <w:spacing w:lineRule="auto" w:line="240" w:before="0" w:after="0"/>
              <w:ind w:left="459" w:hanging="426"/>
              <w:contextualSpacing/>
              <w:jc w:val="both"/>
              <w:rPr>
                <w:rFonts w:ascii="Arial" w:hAnsi="Arial" w:cs="Arial"/>
                <w:sz w:val="24"/>
                <w:szCs w:val="24"/>
              </w:rPr>
            </w:pPr>
            <w:r>
              <w:rPr>
                <w:rFonts w:cs="Arial" w:ascii="Arial" w:hAnsi="Arial"/>
                <w:sz w:val="24"/>
                <w:szCs w:val="24"/>
              </w:rPr>
              <w:t>Investigar el motivo de la discrepancia en la cantidad de naves inscritas, e informar motivos de la ocurrencia de esta observación.</w:t>
            </w:r>
          </w:p>
        </w:tc>
        <w:tc>
          <w:tcPr>
            <w:tcW w:w="2835" w:type="dxa"/>
            <w:tcBorders/>
          </w:tcPr>
          <w:p>
            <w:pPr>
              <w:pStyle w:val="Normal"/>
              <w:spacing w:lineRule="auto" w:line="240" w:before="0" w:after="0"/>
              <w:jc w:val="both"/>
              <w:rPr>
                <w:rFonts w:ascii="Arial" w:hAnsi="Arial" w:cs="Arial"/>
                <w:bCs/>
                <w:sz w:val="24"/>
                <w:szCs w:val="24"/>
                <w:lang w:val="es-MX"/>
              </w:rPr>
            </w:pPr>
            <w:r>
              <w:rPr>
                <w:rFonts w:cs="Arial" w:ascii="Arial" w:hAnsi="Arial"/>
                <w:bCs/>
                <w:sz w:val="24"/>
                <w:szCs w:val="24"/>
              </w:rPr>
              <w:t>S</w:t>
            </w:r>
            <w:r>
              <w:rPr>
                <w:rFonts w:cs="Arial" w:ascii="Arial" w:hAnsi="Arial"/>
                <w:bCs/>
                <w:sz w:val="24"/>
                <w:szCs w:val="24"/>
                <w:lang w:val="es-MX"/>
              </w:rPr>
              <w:t>e efectuó revisión de Libros de Registros de Naves Menores, evidenciando en el Libro N° 6, entre los meses de febrero y marzo de 1992, se efectuó un salto de 11 registros del N° 688 (foja 88), al 699 (foja 89), en el Libro N° 12, entre los meses de noviembre y diciembre de 2004, se efectuó un salto de 1 registro del N° 1674 (foja 71), al 1676 (foja 72). En los Libros N° 12 y 13, existen 11 registros anulados por resolución Ord. N° 12.000/221, de fecha 14 de noviembre de 2011.</w:t>
            </w:r>
          </w:p>
          <w:p>
            <w:pPr>
              <w:pStyle w:val="Normal"/>
              <w:spacing w:lineRule="auto" w:line="240" w:before="0" w:after="0"/>
              <w:jc w:val="both"/>
              <w:rPr>
                <w:rFonts w:ascii="Arial" w:hAnsi="Arial" w:cs="Arial"/>
                <w:b/>
                <w:b/>
                <w:sz w:val="24"/>
                <w:szCs w:val="24"/>
                <w:lang w:val="es-MX"/>
              </w:rPr>
            </w:pPr>
            <w:r>
              <w:rPr>
                <w:rFonts w:cs="Arial" w:ascii="Arial" w:hAnsi="Arial"/>
                <w:bCs/>
                <w:sz w:val="24"/>
                <w:szCs w:val="24"/>
                <w:lang w:val="es-MX"/>
              </w:rPr>
              <w:t>Registro N° 1835, del año 2007,</w:t>
            </w:r>
            <w:r>
              <w:rPr>
                <w:rFonts w:cs="Arial" w:ascii="Arial" w:hAnsi="Arial"/>
                <w:bCs/>
                <w:sz w:val="24"/>
                <w:szCs w:val="24"/>
              </w:rPr>
              <w:t xml:space="preserve"> se encuentra firmada, timbrada pero no </w:t>
            </w:r>
            <w:r>
              <w:rPr>
                <w:rFonts w:cs="Arial" w:ascii="Arial" w:hAnsi="Arial"/>
                <w:bCs/>
                <w:sz w:val="24"/>
                <w:szCs w:val="24"/>
                <w:lang w:val="es-MX"/>
              </w:rPr>
              <w:t>registrad</w:t>
            </w:r>
            <w:r>
              <w:rPr>
                <w:rFonts w:cs="Arial" w:ascii="Arial" w:hAnsi="Arial"/>
                <w:bCs/>
                <w:sz w:val="24"/>
                <w:szCs w:val="24"/>
              </w:rPr>
              <w:t>a</w:t>
            </w:r>
            <w:r>
              <w:rPr>
                <w:rFonts w:cs="Arial" w:ascii="Arial" w:hAnsi="Arial"/>
                <w:bCs/>
                <w:sz w:val="24"/>
                <w:szCs w:val="24"/>
                <w:lang w:val="es-MX"/>
              </w:rPr>
              <w:t xml:space="preserve"> en aplicación.</w:t>
            </w:r>
          </w:p>
        </w:tc>
        <w:tc>
          <w:tcPr>
            <w:tcW w:w="297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PENDIENTE</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Capuerto debe confecciona resolución anulando folios no usados o sin asignación de libros anteriores </w:t>
            </w:r>
          </w:p>
        </w:tc>
        <w:tc>
          <w:tcPr>
            <w:tcW w:w="3980" w:type="dxa"/>
            <w:tcBorders/>
          </w:tcPr>
          <w:p>
            <w:pPr>
              <w:pStyle w:val="Normal"/>
              <w:spacing w:lineRule="auto" w:line="240" w:before="0" w:after="0"/>
              <w:jc w:val="both"/>
              <w:rPr>
                <w:rFonts w:ascii="Arial" w:hAnsi="Arial" w:cs="Arial"/>
                <w:bCs/>
                <w:sz w:val="24"/>
                <w:szCs w:val="24"/>
                <w:lang w:val="es-MX"/>
              </w:rPr>
            </w:pPr>
            <w:r>
              <w:rPr>
                <w:rFonts w:cs="Arial" w:ascii="Arial" w:hAnsi="Arial"/>
                <w:bCs/>
                <w:sz w:val="24"/>
                <w:szCs w:val="24"/>
              </w:rPr>
              <w:t>S</w:t>
            </w:r>
            <w:r>
              <w:rPr>
                <w:rFonts w:cs="Arial" w:ascii="Arial" w:hAnsi="Arial"/>
                <w:bCs/>
                <w:sz w:val="24"/>
                <w:szCs w:val="24"/>
                <w:lang w:val="es-MX"/>
              </w:rPr>
              <w:t>e efectuó revisión de Libros de</w:t>
            </w:r>
            <w:r>
              <w:rPr>
                <w:rFonts w:cs="Arial" w:ascii="Arial" w:hAnsi="Arial"/>
                <w:b/>
                <w:bCs/>
                <w:sz w:val="24"/>
                <w:szCs w:val="24"/>
                <w:lang w:val="es-MX"/>
              </w:rPr>
              <w:t xml:space="preserve"> </w:t>
            </w:r>
            <w:r>
              <w:rPr>
                <w:rFonts w:cs="Arial" w:ascii="Arial" w:hAnsi="Arial"/>
                <w:bCs/>
                <w:sz w:val="24"/>
                <w:szCs w:val="24"/>
                <w:lang w:val="es-MX"/>
              </w:rPr>
              <w:t>Registros de Naves Menores, evidenciando en el Libro N° 6, entre los meses de febrero y marzo de 1992, se efectuó un salto de 10 registros de naves, del N° 688 (foja 88) al N° 699 (foja 89); en el Libro N° 12, entre los meses de noviembre y diciembre de 2004, se efectuó un salto de 01 registro de naves , correspondiente al N° 1675; y en los libros N° 12 y 13, existen 13 registros de naves anulados por no continuar con el trámite de inscripción de la embarcación, conforme a Resolución C.P.CHB. ORD. N° 12000/221, de fecha 14 de noviembre de 2011.</w:t>
            </w:r>
          </w:p>
          <w:p>
            <w:pPr>
              <w:pStyle w:val="Normal"/>
              <w:spacing w:lineRule="auto" w:line="240" w:before="0" w:after="0"/>
              <w:jc w:val="both"/>
              <w:rPr>
                <w:rFonts w:ascii="Arial" w:hAnsi="Arial" w:cs="Arial"/>
                <w:b/>
                <w:b/>
                <w:sz w:val="24"/>
                <w:szCs w:val="24"/>
                <w:lang w:val="es-MX"/>
              </w:rPr>
            </w:pPr>
            <w:r>
              <w:rPr>
                <w:rFonts w:cs="Arial" w:ascii="Arial" w:hAnsi="Arial"/>
                <w:bCs/>
                <w:sz w:val="24"/>
                <w:szCs w:val="24"/>
                <w:lang w:val="es-MX"/>
              </w:rPr>
              <w:t>Actualmente en la Capitanía de Puerto de Puerto Chacabuco, se mantiene la diferencia entre lo que figura en el catálogo de naves menores y lo que indica el registro, siendo identificados los motivos de las 24 naves de diferencias. Se adjunta en Anexo “E” set fotográfico con las fojas de registro de naves de los libros de registro citados anteriormente.</w:t>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013"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2509"/>
        <w:gridCol w:w="3403"/>
        <w:gridCol w:w="2834"/>
        <w:gridCol w:w="2978"/>
        <w:gridCol w:w="2409"/>
        <w:gridCol w:w="2272"/>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50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40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297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9"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27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509" w:type="dxa"/>
            <w:tcBorders/>
          </w:tcPr>
          <w:p>
            <w:pPr>
              <w:pStyle w:val="Normal"/>
              <w:spacing w:lineRule="auto" w:line="240" w:before="0" w:after="0"/>
              <w:jc w:val="both"/>
              <w:rPr>
                <w:rFonts w:ascii="Arial" w:hAnsi="Arial" w:cs="Arial"/>
                <w:sz w:val="24"/>
                <w:szCs w:val="24"/>
              </w:rPr>
            </w:pPr>
            <w:r>
              <w:rPr>
                <w:rFonts w:cs="Arial" w:ascii="Arial" w:hAnsi="Arial"/>
                <w:sz w:val="24"/>
                <w:szCs w:val="24"/>
              </w:rPr>
              <w:t>Se evidenció que, en los libros de Registro de Naves Menores, existen transferencias, anotaciones concernientes al dominio de la nave, embargos, prendas y demás derechos reales que la graven, que no se escriben a mano alzada (de puño y letra del encargado), siendo impresas en hojas aparte y luego pegadas de dicho libro, sin ser estas foliadas y registradas como hoja anexa en la página correspondiente al registro que afecta, ejemplo: B/M Baguala, CCP-1678 (Libro N°12).</w:t>
            </w:r>
          </w:p>
        </w:tc>
        <w:tc>
          <w:tcPr>
            <w:tcW w:w="3403"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D.S. (M) N˚ 163, de fecha 02 de febrero de 1981, Aprueba el Reglamento del registro de naves y artefactos navales. </w:t>
            </w:r>
          </w:p>
        </w:tc>
        <w:tc>
          <w:tcPr>
            <w:tcW w:w="2834" w:type="dxa"/>
            <w:tcBorders/>
          </w:tcPr>
          <w:p>
            <w:pPr>
              <w:pStyle w:val="Prrafodelista1"/>
              <w:numPr>
                <w:ilvl w:val="0"/>
                <w:numId w:val="12"/>
              </w:numPr>
              <w:spacing w:lineRule="auto" w:line="240" w:before="0" w:after="0"/>
              <w:ind w:left="317" w:hanging="317"/>
              <w:contextualSpacing/>
              <w:jc w:val="both"/>
              <w:rPr>
                <w:rFonts w:ascii="Arial" w:hAnsi="Arial" w:cs="Arial"/>
                <w:sz w:val="24"/>
                <w:szCs w:val="24"/>
              </w:rPr>
            </w:pPr>
            <w:r>
              <w:rPr>
                <w:rFonts w:cs="Arial" w:ascii="Arial" w:hAnsi="Arial"/>
                <w:sz w:val="24"/>
                <w:szCs w:val="24"/>
              </w:rPr>
              <w:t>Efectuar revisión de los libros de Registro de Naves Menores y Artefactos Naves, verificando que se hayan ingresado todos los datos y anotaciones a mano alzada, pudiéndose registrar antecedentes en hojas anexadas cuando no exista espacio suficiente en las hojas originales del libro, debiéndose obligatoriamente dejar constancia en la página de registro y anotaciones que se agregará una página anexa; informando la fecha y por qué medio se regularizó esta observación.</w:t>
            </w:r>
          </w:p>
          <w:p>
            <w:pPr>
              <w:pStyle w:val="Prrafodelista1"/>
              <w:numPr>
                <w:ilvl w:val="0"/>
                <w:numId w:val="12"/>
              </w:numPr>
              <w:spacing w:lineRule="auto" w:line="240" w:before="0" w:after="0"/>
              <w:ind w:left="317" w:hanging="317"/>
              <w:contextualSpacing/>
              <w:jc w:val="both"/>
              <w:rPr>
                <w:rFonts w:ascii="Arial" w:hAnsi="Arial" w:cs="Arial"/>
                <w:sz w:val="24"/>
                <w:szCs w:val="24"/>
              </w:rPr>
            </w:pPr>
            <w:r>
              <w:rPr>
                <w:rFonts w:cs="Arial" w:ascii="Arial" w:hAnsi="Arial"/>
                <w:sz w:val="24"/>
                <w:szCs w:val="24"/>
              </w:rPr>
              <w:t xml:space="preserve">Investigar el motivo por el cual se está originando esta observación en el Libro de Registro de Naves Menores. </w:t>
            </w:r>
          </w:p>
        </w:tc>
        <w:tc>
          <w:tcPr>
            <w:tcW w:w="2978" w:type="dxa"/>
            <w:tcBorders/>
          </w:tcPr>
          <w:p>
            <w:pPr>
              <w:pStyle w:val="Normal"/>
              <w:spacing w:lineRule="auto" w:line="240" w:before="0" w:after="0"/>
              <w:jc w:val="both"/>
              <w:rPr>
                <w:rFonts w:ascii="Arial" w:hAnsi="Arial" w:cs="Arial"/>
                <w:bCs/>
                <w:sz w:val="24"/>
                <w:szCs w:val="24"/>
                <w:lang w:val="es-MX"/>
              </w:rPr>
            </w:pPr>
            <w:r>
              <w:rPr>
                <w:rFonts w:cs="Arial" w:ascii="Arial" w:hAnsi="Arial"/>
                <w:bCs/>
                <w:sz w:val="24"/>
                <w:szCs w:val="24"/>
              </w:rPr>
              <w:t>Se efectuó revisión de los Libros de Registro de Naves Menores y se indagó e</w:t>
            </w:r>
            <w:r>
              <w:rPr>
                <w:rFonts w:cs="Arial" w:ascii="Arial" w:hAnsi="Arial"/>
                <w:bCs/>
                <w:sz w:val="24"/>
                <w:szCs w:val="24"/>
                <w:lang w:val="es-MX"/>
              </w:rPr>
              <w:t>l motivo</w:t>
            </w:r>
            <w:r>
              <w:rPr>
                <w:rFonts w:cs="Arial" w:ascii="Arial" w:hAnsi="Arial"/>
                <w:bCs/>
                <w:sz w:val="24"/>
                <w:szCs w:val="24"/>
              </w:rPr>
              <w:t>, logrando determinar que el</w:t>
            </w:r>
            <w:r>
              <w:rPr>
                <w:rFonts w:cs="Arial" w:ascii="Arial" w:hAnsi="Arial"/>
                <w:bCs/>
                <w:sz w:val="24"/>
                <w:szCs w:val="24"/>
                <w:lang w:val="es-MX"/>
              </w:rPr>
              <w:t xml:space="preserve"> registro se deb</w:t>
            </w:r>
            <w:r>
              <w:rPr>
                <w:rFonts w:cs="Arial" w:ascii="Arial" w:hAnsi="Arial"/>
                <w:bCs/>
                <w:sz w:val="24"/>
                <w:szCs w:val="24"/>
              </w:rPr>
              <w:t>ió</w:t>
            </w:r>
            <w:r>
              <w:rPr>
                <w:rFonts w:cs="Arial" w:ascii="Arial" w:hAnsi="Arial"/>
                <w:bCs/>
                <w:sz w:val="24"/>
                <w:szCs w:val="24"/>
                <w:lang w:val="es-MX"/>
              </w:rPr>
              <w:t xml:space="preserve"> a </w:t>
            </w:r>
            <w:r>
              <w:rPr>
                <w:rFonts w:cs="Arial" w:ascii="Arial" w:hAnsi="Arial"/>
                <w:bCs/>
                <w:sz w:val="24"/>
                <w:szCs w:val="24"/>
              </w:rPr>
              <w:t xml:space="preserve">una </w:t>
            </w:r>
            <w:r>
              <w:rPr>
                <w:rFonts w:cs="Arial" w:ascii="Arial" w:hAnsi="Arial"/>
                <w:bCs/>
                <w:sz w:val="24"/>
                <w:szCs w:val="24"/>
                <w:lang w:val="es-MX"/>
              </w:rPr>
              <w:t>instrucción verbal del año 2017 de MARITGOBAYS, en cuanto a que todo registro debía confeccionarse de manera computacional, imprimiendo la hoja y luego pegarla en el libro.</w:t>
            </w:r>
          </w:p>
          <w:p>
            <w:pPr>
              <w:pStyle w:val="Normal"/>
              <w:spacing w:lineRule="auto" w:line="240" w:before="0" w:after="0"/>
              <w:jc w:val="both"/>
              <w:rPr>
                <w:rFonts w:ascii="Arial" w:hAnsi="Arial" w:cs="Arial"/>
                <w:b/>
                <w:b/>
                <w:sz w:val="24"/>
                <w:szCs w:val="24"/>
                <w:lang w:val="es-MX"/>
              </w:rPr>
            </w:pPr>
            <w:r>
              <w:rPr>
                <w:rFonts w:cs="Arial" w:ascii="Arial" w:hAnsi="Arial"/>
                <w:bCs/>
                <w:sz w:val="24"/>
                <w:szCs w:val="24"/>
                <w:lang w:val="es-MX"/>
              </w:rPr>
              <w:t>Se confeccionó O.P.I. N° 400/14,</w:t>
            </w:r>
            <w:r>
              <w:rPr>
                <w:rFonts w:cs="Arial" w:ascii="Arial" w:hAnsi="Arial"/>
                <w:bCs/>
                <w:sz w:val="24"/>
                <w:szCs w:val="24"/>
              </w:rPr>
              <w:t xml:space="preserve"> de fecha 28 de junio de 2021,</w:t>
            </w:r>
            <w:r>
              <w:rPr>
                <w:rFonts w:cs="Arial" w:ascii="Arial" w:hAnsi="Arial"/>
                <w:bCs/>
                <w:sz w:val="24"/>
                <w:szCs w:val="24"/>
                <w:lang w:val="es-MX"/>
              </w:rPr>
              <w:t xml:space="preserve"> indicando instrucciones para el correcto llenado del Libro de Registro</w:t>
            </w:r>
            <w:r>
              <w:rPr>
                <w:rFonts w:cs="Arial" w:ascii="Arial" w:hAnsi="Arial"/>
                <w:bCs/>
                <w:sz w:val="24"/>
                <w:szCs w:val="24"/>
              </w:rPr>
              <w:t xml:space="preserve"> de Naves Menores</w:t>
            </w:r>
            <w:r>
              <w:rPr>
                <w:rFonts w:cs="Arial" w:ascii="Arial" w:hAnsi="Arial"/>
                <w:bCs/>
                <w:sz w:val="24"/>
                <w:szCs w:val="24"/>
                <w:lang w:val="es-MX"/>
              </w:rPr>
              <w:t>, se hace presente que durante la gestión de nuevo encargado, a contar de diciembre de 2020, se está registrando toda anotación a mano alzada.</w:t>
            </w:r>
          </w:p>
        </w:tc>
        <w:tc>
          <w:tcPr>
            <w:tcW w:w="2409" w:type="dxa"/>
            <w:tcBorders/>
            <w:vAlign w:val="center"/>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t>SUPERADA</w:t>
            </w:r>
          </w:p>
        </w:tc>
        <w:tc>
          <w:tcPr>
            <w:tcW w:w="2272"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173" w:type="dxa"/>
        <w:jc w:val="center"/>
        <w:tblInd w:w="0" w:type="dxa"/>
        <w:tblCellMar>
          <w:top w:w="0" w:type="dxa"/>
          <w:left w:w="108" w:type="dxa"/>
          <w:bottom w:w="0" w:type="dxa"/>
          <w:right w:w="108" w:type="dxa"/>
        </w:tblCellMar>
        <w:tblLook w:firstRow="1" w:noVBand="1" w:lastRow="0" w:firstColumn="1" w:lastColumn="0" w:noHBand="0" w:val="04a0"/>
      </w:tblPr>
      <w:tblGrid>
        <w:gridCol w:w="729"/>
        <w:gridCol w:w="3035"/>
        <w:gridCol w:w="2919"/>
        <w:gridCol w:w="2835"/>
        <w:gridCol w:w="2978"/>
        <w:gridCol w:w="2408"/>
        <w:gridCol w:w="2268"/>
      </w:tblGrid>
      <w:tr>
        <w:trPr>
          <w:tblHeader w:val="true"/>
        </w:trPr>
        <w:tc>
          <w:tcPr>
            <w:tcW w:w="729"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0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91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297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408"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26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729"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r>
          </w:p>
        </w:tc>
        <w:tc>
          <w:tcPr>
            <w:tcW w:w="3035" w:type="dxa"/>
            <w:tcBorders/>
          </w:tcPr>
          <w:p>
            <w:pPr>
              <w:pStyle w:val="Normal"/>
              <w:spacing w:lineRule="auto" w:line="240" w:before="0" w:after="0"/>
              <w:jc w:val="both"/>
              <w:rPr>
                <w:rFonts w:ascii="Arial" w:hAnsi="Arial" w:cs="Arial"/>
                <w:sz w:val="24"/>
                <w:szCs w:val="24"/>
              </w:rPr>
            </w:pPr>
            <w:r>
              <w:rPr>
                <w:rFonts w:cs="Arial" w:ascii="Arial" w:hAnsi="Arial"/>
                <w:sz w:val="24"/>
                <w:szCs w:val="24"/>
              </w:rPr>
            </w:r>
          </w:p>
        </w:tc>
        <w:tc>
          <w:tcPr>
            <w:tcW w:w="2919" w:type="dxa"/>
            <w:tcBorders/>
          </w:tcPr>
          <w:p>
            <w:pPr>
              <w:pStyle w:val="Normal"/>
              <w:spacing w:lineRule="auto" w:line="240" w:before="0" w:after="0"/>
              <w:jc w:val="both"/>
              <w:rPr>
                <w:rFonts w:ascii="Arial" w:hAnsi="Arial" w:cs="Arial"/>
                <w:sz w:val="24"/>
                <w:szCs w:val="24"/>
              </w:rPr>
            </w:pPr>
            <w:r>
              <w:rPr>
                <w:rFonts w:cs="Arial" w:ascii="Arial" w:hAnsi="Arial"/>
                <w:sz w:val="24"/>
                <w:szCs w:val="24"/>
              </w:rPr>
            </w:r>
          </w:p>
        </w:tc>
        <w:tc>
          <w:tcPr>
            <w:tcW w:w="2835" w:type="dxa"/>
            <w:tcBorders/>
          </w:tcPr>
          <w:p>
            <w:pPr>
              <w:pStyle w:val="Prrafodelista1"/>
              <w:numPr>
                <w:ilvl w:val="0"/>
                <w:numId w:val="12"/>
              </w:numPr>
              <w:spacing w:lineRule="auto" w:line="240" w:before="0" w:after="0"/>
              <w:ind w:left="317" w:hanging="317"/>
              <w:contextualSpacing/>
              <w:jc w:val="both"/>
              <w:rPr>
                <w:rFonts w:ascii="Arial" w:hAnsi="Arial" w:cs="Arial"/>
                <w:sz w:val="24"/>
                <w:szCs w:val="24"/>
              </w:rPr>
            </w:pPr>
            <w:r>
              <w:rPr>
                <w:rFonts w:cs="Arial" w:ascii="Arial" w:hAnsi="Arial"/>
                <w:sz w:val="24"/>
                <w:szCs w:val="24"/>
              </w:rPr>
              <w:t xml:space="preserve">Informar medidas adoptadas tendientes a evitar su ocurrencia a futuro.   </w:t>
            </w:r>
          </w:p>
        </w:tc>
        <w:tc>
          <w:tcPr>
            <w:tcW w:w="2978" w:type="dxa"/>
            <w:tcBorders/>
          </w:tcPr>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408" w:type="dxa"/>
            <w:tcBorders/>
            <w:vAlign w:val="center"/>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268"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r>
      <w:tr>
        <w:trPr>
          <w:tblHeader w:val="true"/>
        </w:trPr>
        <w:tc>
          <w:tcPr>
            <w:tcW w:w="729" w:type="dxa"/>
            <w:tcBorders/>
          </w:tcPr>
          <w:p>
            <w:pPr>
              <w:pStyle w:val="Normal"/>
              <w:spacing w:lineRule="auto" w:line="240" w:before="0" w:after="0"/>
              <w:ind w:left="-113" w:right="-108" w:hanging="0"/>
              <w:jc w:val="center"/>
              <w:rPr>
                <w:rFonts w:ascii="Arial" w:hAnsi="Arial" w:cs="Arial"/>
                <w:sz w:val="24"/>
                <w:szCs w:val="24"/>
              </w:rPr>
            </w:pPr>
            <w:r>
              <w:rPr>
                <w:rFonts w:cs="Arial" w:ascii="Arial" w:hAnsi="Arial"/>
                <w:sz w:val="24"/>
                <w:szCs w:val="24"/>
              </w:rPr>
              <w:t>c)</w:t>
            </w:r>
          </w:p>
        </w:tc>
        <w:tc>
          <w:tcPr>
            <w:tcW w:w="3035"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Se detectó que para levantar observaciones en la aplicación Registro de Naves Menores, especialmente con Cod. 17, el inspector debe ingresar la inspección el día hábil anterior a la fecha que verdaderamente fue efectuada, puesto que dicha aplicación no permite levantar las observaciones o ingresar nuevas anotaciones el mismo día que se realizó la inspección, es decir, no se pueden ingresar información dos veces en el mismo día, generando una discrepancia para la trazabilidad, ya que las fechas de las boletas de inspección son diferentes a la que aparece en la aplicación. </w:t>
            </w:r>
          </w:p>
        </w:tc>
        <w:tc>
          <w:tcPr>
            <w:tcW w:w="2919" w:type="dxa"/>
            <w:tcBorders/>
          </w:tcPr>
          <w:p>
            <w:pPr>
              <w:pStyle w:val="Normal"/>
              <w:spacing w:lineRule="auto" w:line="240" w:before="0" w:after="0"/>
              <w:jc w:val="both"/>
              <w:rPr>
                <w:rFonts w:ascii="Arial" w:hAnsi="Arial" w:cs="Arial"/>
                <w:sz w:val="24"/>
                <w:szCs w:val="24"/>
              </w:rPr>
            </w:pPr>
            <w:r>
              <w:rPr>
                <w:rFonts w:cs="Arial" w:ascii="Arial" w:hAnsi="Arial"/>
                <w:sz w:val="24"/>
                <w:szCs w:val="24"/>
              </w:rPr>
              <w:t>D.S. (M) N˚ 163, de fecha 02 de febrero de 1981, Aprueba el Reglamento del registro de naves y artefactos navales.</w:t>
            </w:r>
          </w:p>
        </w:tc>
        <w:tc>
          <w:tcPr>
            <w:tcW w:w="2835" w:type="dxa"/>
            <w:tcBorders/>
          </w:tcPr>
          <w:p>
            <w:pPr>
              <w:pStyle w:val="Prrafodelista1"/>
              <w:numPr>
                <w:ilvl w:val="0"/>
                <w:numId w:val="13"/>
              </w:numPr>
              <w:spacing w:lineRule="auto" w:line="240" w:before="0" w:after="0"/>
              <w:ind w:left="459" w:hanging="426"/>
              <w:contextualSpacing/>
              <w:jc w:val="both"/>
              <w:rPr>
                <w:rFonts w:ascii="Arial" w:hAnsi="Arial" w:cs="Arial"/>
                <w:sz w:val="24"/>
                <w:szCs w:val="24"/>
              </w:rPr>
            </w:pPr>
            <w:r>
              <w:rPr>
                <w:rFonts w:cs="Arial" w:ascii="Arial" w:hAnsi="Arial"/>
                <w:sz w:val="24"/>
                <w:szCs w:val="24"/>
              </w:rPr>
              <w:t>Oficina de Control de Gestión, efectuó las coordinaciones con el Servicio de Inspecciones Marítimas – SIM (administrador de la aplicación) y TECMAR para que ese estudie la factibilidad de modificar la aplicación.</w:t>
            </w:r>
          </w:p>
          <w:p>
            <w:pPr>
              <w:pStyle w:val="Prrafodelista1"/>
              <w:numPr>
                <w:ilvl w:val="0"/>
                <w:numId w:val="13"/>
              </w:numPr>
              <w:spacing w:lineRule="auto" w:line="240" w:before="0" w:after="0"/>
              <w:ind w:left="459" w:hanging="426"/>
              <w:contextualSpacing/>
              <w:jc w:val="both"/>
              <w:rPr>
                <w:rFonts w:ascii="Arial" w:hAnsi="Arial" w:cs="Arial"/>
                <w:sz w:val="24"/>
                <w:szCs w:val="24"/>
              </w:rPr>
            </w:pPr>
            <w:r>
              <w:rPr>
                <w:rFonts w:cs="Arial" w:ascii="Arial" w:hAnsi="Arial"/>
                <w:sz w:val="24"/>
                <w:szCs w:val="24"/>
              </w:rPr>
              <w:t>Mando debe instruir a las UU.RR. dependientes sobre el aviso oportuno a Soporte TECMAR ante la ocurrencia de fallas o debilidades en las aplicaciones.</w:t>
            </w:r>
          </w:p>
          <w:p>
            <w:pPr>
              <w:pStyle w:val="Prrafodelista1"/>
              <w:spacing w:lineRule="auto" w:line="240" w:before="0" w:after="0"/>
              <w:ind w:left="459" w:hanging="0"/>
              <w:contextualSpacing/>
              <w:jc w:val="both"/>
              <w:rPr>
                <w:rFonts w:ascii="Arial" w:hAnsi="Arial" w:cs="Arial"/>
                <w:sz w:val="24"/>
                <w:szCs w:val="24"/>
              </w:rPr>
            </w:pPr>
            <w:r>
              <w:rPr>
                <w:rFonts w:cs="Arial" w:ascii="Arial" w:hAnsi="Arial"/>
                <w:sz w:val="24"/>
                <w:szCs w:val="24"/>
              </w:rPr>
            </w:r>
          </w:p>
        </w:tc>
        <w:tc>
          <w:tcPr>
            <w:tcW w:w="2978" w:type="dxa"/>
            <w:tcBorders/>
          </w:tcPr>
          <w:p>
            <w:pPr>
              <w:pStyle w:val="Normal"/>
              <w:spacing w:lineRule="auto" w:line="240" w:before="0" w:after="0"/>
              <w:jc w:val="both"/>
              <w:rPr>
                <w:rFonts w:ascii="Arial" w:hAnsi="Arial" w:cs="Arial"/>
                <w:bCs/>
                <w:sz w:val="24"/>
                <w:szCs w:val="24"/>
                <w:lang w:val="es-MX"/>
              </w:rPr>
            </w:pPr>
            <w:r>
              <w:rPr>
                <w:rFonts w:cs="Arial" w:ascii="Arial" w:hAnsi="Arial"/>
                <w:bCs/>
                <w:sz w:val="24"/>
                <w:szCs w:val="24"/>
                <w:lang w:val="es-MX"/>
              </w:rPr>
              <w:t xml:space="preserve">Se modificó O.P.I. N° 400/07, de fecha 28 de junio de 2021, con instrucciones para los Inspectores de </w:t>
            </w:r>
            <w:r>
              <w:rPr>
                <w:rFonts w:cs="Arial" w:ascii="Arial" w:hAnsi="Arial"/>
                <w:bCs/>
                <w:sz w:val="24"/>
                <w:szCs w:val="24"/>
              </w:rPr>
              <w:t>N</w:t>
            </w:r>
            <w:r>
              <w:rPr>
                <w:rFonts w:cs="Arial" w:ascii="Arial" w:hAnsi="Arial"/>
                <w:bCs/>
                <w:sz w:val="24"/>
                <w:szCs w:val="24"/>
                <w:lang w:val="es-MX"/>
              </w:rPr>
              <w:t>aves</w:t>
            </w:r>
            <w:r>
              <w:rPr>
                <w:rFonts w:cs="Arial" w:ascii="Arial" w:hAnsi="Arial"/>
                <w:bCs/>
                <w:sz w:val="24"/>
                <w:szCs w:val="24"/>
              </w:rPr>
              <w:t xml:space="preserve"> Menores</w:t>
            </w:r>
            <w:r>
              <w:rPr>
                <w:rFonts w:cs="Arial" w:ascii="Arial" w:hAnsi="Arial"/>
                <w:bCs/>
                <w:sz w:val="24"/>
                <w:szCs w:val="24"/>
                <w:lang w:val="es-MX"/>
              </w:rPr>
              <w:t>, relacionado con el ingreso de observaciones al sistema, debiendo registrarlas con las fechas en que se efectuó la observación.</w:t>
            </w:r>
          </w:p>
          <w:p>
            <w:pPr>
              <w:pStyle w:val="Normal"/>
              <w:spacing w:lineRule="auto" w:line="240" w:before="0" w:after="0"/>
              <w:jc w:val="both"/>
              <w:rPr>
                <w:rFonts w:ascii="Arial" w:hAnsi="Arial" w:cs="Arial"/>
                <w:b/>
                <w:b/>
                <w:sz w:val="24"/>
                <w:szCs w:val="24"/>
                <w:lang w:val="es-MX"/>
              </w:rPr>
            </w:pPr>
            <w:r>
              <w:rPr>
                <w:rFonts w:cs="Arial" w:ascii="Arial" w:hAnsi="Arial"/>
                <w:bCs/>
                <w:sz w:val="24"/>
                <w:szCs w:val="24"/>
                <w:lang w:val="es-MX"/>
              </w:rPr>
              <w:t>Se adjunta en anexo “E” citada O.P.I.</w:t>
            </w:r>
          </w:p>
        </w:tc>
        <w:tc>
          <w:tcPr>
            <w:tcW w:w="2408" w:type="dxa"/>
            <w:tcBorders/>
            <w:vAlign w:val="center"/>
          </w:tcPr>
          <w:p>
            <w:pPr>
              <w:pStyle w:val="Normal"/>
              <w:spacing w:lineRule="auto" w:line="240" w:before="0" w:after="0"/>
              <w:jc w:val="center"/>
              <w:rPr>
                <w:rFonts w:ascii="Arial" w:hAnsi="Arial" w:cs="Arial"/>
                <w:sz w:val="24"/>
                <w:szCs w:val="24"/>
                <w:lang w:eastAsia="es-CL"/>
              </w:rPr>
            </w:pPr>
            <w:r>
              <w:rPr>
                <w:rFonts w:cs="Arial" w:ascii="Arial" w:hAnsi="Arial"/>
                <w:b/>
                <w:sz w:val="24"/>
                <w:szCs w:val="24"/>
                <w:lang w:eastAsia="es-CL"/>
              </w:rPr>
              <w:t>SUPERADA</w:t>
            </w:r>
          </w:p>
        </w:tc>
        <w:tc>
          <w:tcPr>
            <w:tcW w:w="2268"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6956"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3118"/>
        <w:gridCol w:w="2730"/>
        <w:gridCol w:w="2841"/>
        <w:gridCol w:w="3042"/>
        <w:gridCol w:w="2583"/>
        <w:gridCol w:w="2034"/>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11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73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4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04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58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7" w:type="dxa"/>
            <w:tcBorders/>
          </w:tcPr>
          <w:p>
            <w:pPr>
              <w:pStyle w:val="Normal"/>
              <w:spacing w:lineRule="auto" w:line="240" w:before="0" w:after="0"/>
              <w:ind w:left="-113" w:right="-108" w:hanging="0"/>
              <w:jc w:val="center"/>
              <w:rPr>
                <w:rFonts w:ascii="Arial" w:hAnsi="Arial" w:cs="Arial"/>
                <w:sz w:val="24"/>
                <w:szCs w:val="24"/>
              </w:rPr>
            </w:pPr>
            <w:r>
              <w:rPr>
                <w:rFonts w:cs="Arial" w:ascii="Arial" w:hAnsi="Arial"/>
                <w:sz w:val="24"/>
                <w:szCs w:val="24"/>
              </w:rPr>
            </w:r>
          </w:p>
        </w:tc>
        <w:tc>
          <w:tcPr>
            <w:tcW w:w="3118" w:type="dxa"/>
            <w:tcBorders/>
          </w:tcPr>
          <w:p>
            <w:pPr>
              <w:pStyle w:val="Normal"/>
              <w:spacing w:lineRule="auto" w:line="240" w:before="0" w:after="0"/>
              <w:jc w:val="both"/>
              <w:rPr>
                <w:rFonts w:ascii="Arial" w:hAnsi="Arial" w:cs="Arial"/>
                <w:sz w:val="24"/>
                <w:szCs w:val="24"/>
              </w:rPr>
            </w:pPr>
            <w:r>
              <w:rPr>
                <w:rFonts w:cs="Arial" w:ascii="Arial" w:hAnsi="Arial"/>
                <w:sz w:val="24"/>
                <w:szCs w:val="24"/>
              </w:rPr>
            </w:r>
          </w:p>
        </w:tc>
        <w:tc>
          <w:tcPr>
            <w:tcW w:w="2730" w:type="dxa"/>
            <w:tcBorders/>
          </w:tcPr>
          <w:p>
            <w:pPr>
              <w:pStyle w:val="Normal"/>
              <w:spacing w:lineRule="auto" w:line="240" w:before="0" w:after="0"/>
              <w:jc w:val="both"/>
              <w:rPr>
                <w:rFonts w:ascii="Arial" w:hAnsi="Arial" w:cs="Arial"/>
                <w:sz w:val="24"/>
                <w:szCs w:val="24"/>
              </w:rPr>
            </w:pPr>
            <w:r>
              <w:rPr>
                <w:rFonts w:cs="Arial" w:ascii="Arial" w:hAnsi="Arial"/>
                <w:sz w:val="24"/>
                <w:szCs w:val="24"/>
              </w:rPr>
            </w:r>
          </w:p>
        </w:tc>
        <w:tc>
          <w:tcPr>
            <w:tcW w:w="2841" w:type="dxa"/>
            <w:tcBorders/>
          </w:tcPr>
          <w:p>
            <w:pPr>
              <w:pStyle w:val="Prrafodelista1"/>
              <w:numPr>
                <w:ilvl w:val="0"/>
                <w:numId w:val="13"/>
              </w:numPr>
              <w:spacing w:lineRule="auto" w:line="240" w:before="0" w:after="0"/>
              <w:ind w:left="459" w:hanging="426"/>
              <w:contextualSpacing/>
              <w:jc w:val="both"/>
              <w:rPr>
                <w:rFonts w:ascii="Arial" w:hAnsi="Arial" w:cs="Arial"/>
                <w:sz w:val="24"/>
                <w:szCs w:val="24"/>
              </w:rPr>
            </w:pPr>
            <w:r>
              <w:rPr>
                <w:rFonts w:cs="Arial" w:ascii="Arial" w:hAnsi="Arial"/>
                <w:sz w:val="24"/>
                <w:szCs w:val="24"/>
              </w:rPr>
              <w:t>Hasta que se pueda modificar la aplicación, confeccionar documento que disponga y aclare  el procedimiento para los inspectores de naves menores respecto a esta discrepancia; remitiendo copia del acto administrativo que regulariza esta observación.</w:t>
            </w:r>
          </w:p>
        </w:tc>
        <w:tc>
          <w:tcPr>
            <w:tcW w:w="3042" w:type="dxa"/>
            <w:tcBorders/>
          </w:tcPr>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583" w:type="dxa"/>
            <w:tcBorders/>
            <w:vAlign w:val="center"/>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034"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358"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3118"/>
        <w:gridCol w:w="2796"/>
        <w:gridCol w:w="2834"/>
        <w:gridCol w:w="3158"/>
        <w:gridCol w:w="2729"/>
        <w:gridCol w:w="2115"/>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11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79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15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729"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15" w:type="dxa"/>
            <w:tcBorders/>
            <w:vAlign w:val="center"/>
          </w:tcPr>
          <w:p>
            <w:pPr>
              <w:pStyle w:val="Normal"/>
              <w:spacing w:lineRule="auto" w:line="240" w:before="0" w:after="0"/>
              <w:ind w:left="-35" w:hanging="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d)</w:t>
            </w:r>
          </w:p>
        </w:tc>
        <w:tc>
          <w:tcPr>
            <w:tcW w:w="3118"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En entrevista con Inspectores de Naves Menores de la Capitanía de Puerto se evidenció que no todos ellos poseían usuario y clave para ingresar a la Aplicación de Naves Menores, usando la sesión del Inspector de Naves Menores PAC Sr. Iván Espinoza, lo que constituye una vulneración a la seguridad. </w:t>
            </w:r>
          </w:p>
        </w:tc>
        <w:tc>
          <w:tcPr>
            <w:tcW w:w="2796" w:type="dxa"/>
            <w:tcBorders/>
          </w:tcPr>
          <w:p>
            <w:pPr>
              <w:pStyle w:val="Prrafodelista1"/>
              <w:numPr>
                <w:ilvl w:val="0"/>
                <w:numId w:val="14"/>
              </w:numPr>
              <w:spacing w:lineRule="auto" w:line="240" w:before="0" w:after="0"/>
              <w:ind w:left="322" w:hanging="322"/>
              <w:contextualSpacing/>
              <w:jc w:val="both"/>
              <w:rPr>
                <w:rFonts w:ascii="Arial" w:hAnsi="Arial" w:cs="Arial"/>
                <w:sz w:val="24"/>
                <w:szCs w:val="24"/>
              </w:rPr>
            </w:pPr>
            <w:r>
              <w:rPr>
                <w:rFonts w:cs="Arial" w:ascii="Arial" w:hAnsi="Arial"/>
                <w:sz w:val="24"/>
                <w:szCs w:val="24"/>
              </w:rPr>
              <w:t>Ordenanza de la Armada, art. 78°</w:t>
            </w:r>
          </w:p>
          <w:p>
            <w:pPr>
              <w:pStyle w:val="Prrafodelista1"/>
              <w:numPr>
                <w:ilvl w:val="0"/>
                <w:numId w:val="14"/>
              </w:numPr>
              <w:spacing w:lineRule="auto" w:line="240" w:before="0" w:after="0"/>
              <w:ind w:left="322" w:hanging="322"/>
              <w:contextualSpacing/>
              <w:jc w:val="both"/>
              <w:rPr>
                <w:rFonts w:ascii="Arial" w:hAnsi="Arial" w:cs="Arial"/>
                <w:sz w:val="24"/>
                <w:szCs w:val="24"/>
              </w:rPr>
            </w:pPr>
            <w:r>
              <w:rPr>
                <w:rFonts w:cs="Arial" w:ascii="Arial" w:hAnsi="Arial"/>
                <w:sz w:val="24"/>
                <w:szCs w:val="24"/>
              </w:rPr>
              <w:t>Directiva de Seguridad Informática Institucional, Ord.- DDI 430005, 43000530, letra A, N° 2.</w:t>
            </w:r>
          </w:p>
          <w:p>
            <w:pPr>
              <w:pStyle w:val="Prrafodelista1"/>
              <w:numPr>
                <w:ilvl w:val="0"/>
                <w:numId w:val="14"/>
              </w:numPr>
              <w:spacing w:lineRule="auto" w:line="240" w:before="0" w:after="0"/>
              <w:ind w:left="322" w:hanging="322"/>
              <w:contextualSpacing/>
              <w:jc w:val="both"/>
              <w:rPr>
                <w:rFonts w:ascii="Arial" w:hAnsi="Arial" w:cs="Arial"/>
                <w:sz w:val="24"/>
                <w:szCs w:val="24"/>
              </w:rPr>
            </w:pPr>
            <w:r>
              <w:rPr>
                <w:rFonts w:cs="Arial" w:ascii="Arial" w:hAnsi="Arial"/>
                <w:sz w:val="24"/>
                <w:szCs w:val="24"/>
              </w:rPr>
              <w:t>DIRECTEMAR 121651 ENE 2021.</w:t>
            </w:r>
          </w:p>
        </w:tc>
        <w:tc>
          <w:tcPr>
            <w:tcW w:w="2834" w:type="dxa"/>
            <w:tcBorders/>
          </w:tcPr>
          <w:p>
            <w:pPr>
              <w:pStyle w:val="Prrafodelista1"/>
              <w:numPr>
                <w:ilvl w:val="0"/>
                <w:numId w:val="15"/>
              </w:numPr>
              <w:spacing w:lineRule="auto" w:line="240" w:before="0" w:after="0"/>
              <w:ind w:left="459" w:hanging="426"/>
              <w:contextualSpacing/>
              <w:jc w:val="both"/>
              <w:rPr>
                <w:rFonts w:ascii="Arial" w:hAnsi="Arial" w:cs="Arial"/>
                <w:sz w:val="24"/>
                <w:szCs w:val="24"/>
              </w:rPr>
            </w:pPr>
            <w:r>
              <w:rPr>
                <w:rFonts w:cs="Arial" w:ascii="Arial" w:hAnsi="Arial"/>
                <w:sz w:val="24"/>
                <w:szCs w:val="24"/>
              </w:rPr>
              <w:t>Disponer que todo el personal designado para trabajar en la Aplicación de Naves Menores, tenga un usuario y clave, debiendo además, reiterar la instrucción a la dotación respecto a la seguridad y custodia de claves personales de acceso a diferentes aplicaciones computacionales;</w:t>
            </w:r>
            <w:r>
              <w:rPr/>
              <w:t xml:space="preserve"> </w:t>
            </w:r>
            <w:r>
              <w:rPr>
                <w:rFonts w:cs="Arial" w:ascii="Arial" w:hAnsi="Arial"/>
                <w:sz w:val="24"/>
                <w:szCs w:val="24"/>
              </w:rPr>
              <w:t>informado acto administrativo que regulariza esta observación.</w:t>
            </w:r>
          </w:p>
          <w:p>
            <w:pPr>
              <w:pStyle w:val="Prrafodelista1"/>
              <w:numPr>
                <w:ilvl w:val="0"/>
                <w:numId w:val="15"/>
              </w:numPr>
              <w:spacing w:lineRule="auto" w:line="240" w:before="0" w:after="0"/>
              <w:ind w:left="459" w:hanging="426"/>
              <w:contextualSpacing/>
              <w:jc w:val="both"/>
              <w:rPr>
                <w:rFonts w:ascii="Arial" w:hAnsi="Arial" w:cs="Arial"/>
                <w:sz w:val="24"/>
                <w:szCs w:val="24"/>
              </w:rPr>
            </w:pPr>
            <w:r>
              <w:rPr>
                <w:rFonts w:cs="Arial" w:ascii="Arial" w:hAnsi="Arial"/>
                <w:sz w:val="24"/>
                <w:szCs w:val="24"/>
              </w:rPr>
              <w:t xml:space="preserve">Investigar el origen de esta debilidad a la seguridad informática, informando las medidas adoptadas tendientes a evitar su ocurrencia a futuro. </w:t>
            </w:r>
          </w:p>
        </w:tc>
        <w:tc>
          <w:tcPr>
            <w:tcW w:w="3158" w:type="dxa"/>
            <w:tcBorders/>
          </w:tcPr>
          <w:p>
            <w:pPr>
              <w:pStyle w:val="ListParagraph"/>
              <w:numPr>
                <w:ilvl w:val="1"/>
                <w:numId w:val="16"/>
              </w:numPr>
              <w:spacing w:lineRule="auto" w:line="240" w:before="0" w:after="0"/>
              <w:ind w:left="459" w:hanging="425"/>
              <w:contextualSpacing/>
              <w:jc w:val="both"/>
              <w:rPr>
                <w:rFonts w:ascii="Arial" w:hAnsi="Arial" w:cs="Arial"/>
                <w:bCs/>
                <w:sz w:val="24"/>
                <w:szCs w:val="24"/>
                <w:lang w:val="es-MX"/>
              </w:rPr>
            </w:pPr>
            <w:r>
              <w:rPr>
                <w:rFonts w:cs="Arial" w:ascii="Arial" w:hAnsi="Arial"/>
                <w:bCs/>
                <w:sz w:val="24"/>
                <w:szCs w:val="24"/>
                <w:lang w:val="es-MX"/>
              </w:rPr>
              <w:t xml:space="preserve">Todo el personal designado por resolución como </w:t>
            </w:r>
            <w:r>
              <w:rPr>
                <w:rFonts w:cs="Arial" w:ascii="Arial" w:hAnsi="Arial"/>
                <w:bCs/>
                <w:sz w:val="24"/>
                <w:szCs w:val="24"/>
              </w:rPr>
              <w:t>I</w:t>
            </w:r>
            <w:r>
              <w:rPr>
                <w:rFonts w:cs="Arial" w:ascii="Arial" w:hAnsi="Arial"/>
                <w:bCs/>
                <w:sz w:val="24"/>
                <w:szCs w:val="24"/>
                <w:lang w:val="es-MX"/>
              </w:rPr>
              <w:t xml:space="preserve">nspectores de </w:t>
            </w:r>
            <w:r>
              <w:rPr>
                <w:rFonts w:cs="Arial" w:ascii="Arial" w:hAnsi="Arial"/>
                <w:bCs/>
                <w:sz w:val="24"/>
                <w:szCs w:val="24"/>
              </w:rPr>
              <w:t>N</w:t>
            </w:r>
            <w:r>
              <w:rPr>
                <w:rFonts w:cs="Arial" w:ascii="Arial" w:hAnsi="Arial"/>
                <w:bCs/>
                <w:sz w:val="24"/>
                <w:szCs w:val="24"/>
                <w:lang w:val="es-MX"/>
              </w:rPr>
              <w:t xml:space="preserve">aves </w:t>
            </w:r>
            <w:r>
              <w:rPr>
                <w:rFonts w:cs="Arial" w:ascii="Arial" w:hAnsi="Arial"/>
                <w:bCs/>
                <w:sz w:val="24"/>
                <w:szCs w:val="24"/>
              </w:rPr>
              <w:t>M</w:t>
            </w:r>
            <w:r>
              <w:rPr>
                <w:rFonts w:cs="Arial" w:ascii="Arial" w:hAnsi="Arial"/>
                <w:bCs/>
                <w:sz w:val="24"/>
                <w:szCs w:val="24"/>
                <w:lang w:val="es-MX"/>
              </w:rPr>
              <w:t>enores, cuenta con su clave de acceso a la aplicación.</w:t>
            </w:r>
          </w:p>
          <w:p>
            <w:pPr>
              <w:pStyle w:val="ListParagraph"/>
              <w:numPr>
                <w:ilvl w:val="1"/>
                <w:numId w:val="16"/>
              </w:numPr>
              <w:spacing w:lineRule="auto" w:line="240" w:before="0" w:after="0"/>
              <w:ind w:left="459" w:hanging="425"/>
              <w:contextualSpacing/>
              <w:jc w:val="both"/>
              <w:rPr>
                <w:rFonts w:ascii="Arial" w:hAnsi="Arial" w:cs="Arial"/>
                <w:b/>
                <w:b/>
                <w:sz w:val="24"/>
                <w:szCs w:val="24"/>
                <w:lang w:val="es-MX"/>
              </w:rPr>
            </w:pPr>
            <w:r>
              <w:rPr>
                <w:rFonts w:cs="Arial" w:ascii="Arial" w:hAnsi="Arial"/>
                <w:bCs/>
                <w:sz w:val="24"/>
                <w:szCs w:val="24"/>
                <w:lang w:val="es-MX"/>
              </w:rPr>
              <w:t xml:space="preserve">Se modificó O.P.I. N° 400/07, de fecha 28 de junio de 2021, </w:t>
            </w:r>
            <w:r>
              <w:rPr>
                <w:rFonts w:cs="Arial" w:ascii="Arial" w:hAnsi="Arial"/>
                <w:bCs/>
                <w:sz w:val="24"/>
                <w:szCs w:val="24"/>
              </w:rPr>
              <w:t xml:space="preserve">agregando </w:t>
            </w:r>
            <w:r>
              <w:rPr>
                <w:rFonts w:cs="Arial" w:ascii="Arial" w:hAnsi="Arial"/>
                <w:bCs/>
                <w:sz w:val="24"/>
                <w:szCs w:val="24"/>
                <w:lang w:val="es-MX"/>
              </w:rPr>
              <w:t>instrucciones para los Inspectores de naves, relacionado con la obligatoriedad de contar con su respectiva clave de acceso a la ap</w:t>
            </w:r>
            <w:r>
              <w:rPr>
                <w:rFonts w:cs="Arial" w:ascii="Arial" w:hAnsi="Arial"/>
                <w:bCs/>
                <w:sz w:val="24"/>
                <w:szCs w:val="24"/>
              </w:rPr>
              <w:t>licación.</w:t>
            </w:r>
          </w:p>
          <w:p>
            <w:pPr>
              <w:pStyle w:val="ListParagraph"/>
              <w:numPr>
                <w:ilvl w:val="1"/>
                <w:numId w:val="16"/>
              </w:numPr>
              <w:spacing w:lineRule="auto" w:line="240" w:before="0" w:after="0"/>
              <w:ind w:left="459" w:hanging="425"/>
              <w:contextualSpacing/>
              <w:jc w:val="both"/>
              <w:rPr>
                <w:rFonts w:ascii="Arial" w:hAnsi="Arial" w:cs="Arial"/>
                <w:b/>
                <w:b/>
                <w:sz w:val="24"/>
                <w:szCs w:val="24"/>
                <w:lang w:val="es-MX"/>
              </w:rPr>
            </w:pPr>
            <w:r>
              <w:rPr>
                <w:rFonts w:cs="Arial" w:ascii="Arial" w:hAnsi="Arial"/>
                <w:bCs/>
                <w:sz w:val="24"/>
                <w:szCs w:val="24"/>
              </w:rPr>
              <w:t>Se adjunta en el anexo “E” de la citada O.P.I.</w:t>
            </w:r>
          </w:p>
        </w:tc>
        <w:tc>
          <w:tcPr>
            <w:tcW w:w="2729" w:type="dxa"/>
            <w:tcBorders/>
            <w:vAlign w:val="center"/>
          </w:tcPr>
          <w:p>
            <w:pPr>
              <w:pStyle w:val="Normal"/>
              <w:spacing w:lineRule="auto" w:line="240" w:before="0" w:after="0"/>
              <w:jc w:val="center"/>
              <w:rPr>
                <w:rFonts w:ascii="Arial" w:hAnsi="Arial" w:cs="Arial"/>
                <w:sz w:val="24"/>
                <w:szCs w:val="24"/>
                <w:lang w:eastAsia="es-CL"/>
              </w:rPr>
            </w:pPr>
            <w:r>
              <w:rPr>
                <w:rFonts w:cs="Arial" w:ascii="Arial" w:hAnsi="Arial"/>
                <w:b/>
                <w:sz w:val="24"/>
                <w:szCs w:val="24"/>
                <w:lang w:eastAsia="es-CL"/>
              </w:rPr>
              <w:t>SUPERADA</w:t>
            </w:r>
          </w:p>
        </w:tc>
        <w:tc>
          <w:tcPr>
            <w:tcW w:w="2115" w:type="dxa"/>
            <w:tcBorders/>
          </w:tcPr>
          <w:p>
            <w:pPr>
              <w:pStyle w:val="Normal"/>
              <w:tabs>
                <w:tab w:val="clear" w:pos="708"/>
                <w:tab w:val="left" w:pos="291" w:leader="none"/>
              </w:tabs>
              <w:spacing w:lineRule="auto" w:line="240" w:before="0" w:after="0"/>
              <w:ind w:left="-209" w:firstLine="209"/>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914" w:type="dxa"/>
        <w:jc w:val="center"/>
        <w:tblInd w:w="0" w:type="dxa"/>
        <w:tblCellMar>
          <w:top w:w="0" w:type="dxa"/>
          <w:left w:w="108" w:type="dxa"/>
          <w:bottom w:w="0" w:type="dxa"/>
          <w:right w:w="108" w:type="dxa"/>
        </w:tblCellMar>
        <w:tblLook w:firstRow="1" w:noVBand="1" w:lastRow="0" w:firstColumn="1" w:lastColumn="0" w:noHBand="0" w:val="04a0"/>
      </w:tblPr>
      <w:tblGrid>
        <w:gridCol w:w="671"/>
        <w:gridCol w:w="3049"/>
        <w:gridCol w:w="2834"/>
        <w:gridCol w:w="3015"/>
        <w:gridCol w:w="3115"/>
        <w:gridCol w:w="2910"/>
        <w:gridCol w:w="2319"/>
      </w:tblGrid>
      <w:tr>
        <w:trPr>
          <w:tblHeader w:val="true"/>
        </w:trPr>
        <w:tc>
          <w:tcPr>
            <w:tcW w:w="671"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304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301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11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91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31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594" w:type="dxa"/>
            <w:gridSpan w:val="6"/>
            <w:tcBorders/>
            <w:vAlign w:val="center"/>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p>
            <w:pPr>
              <w:pStyle w:val="Normal"/>
              <w:spacing w:lineRule="auto" w:line="240" w:before="0" w:after="0"/>
              <w:jc w:val="both"/>
              <w:rPr>
                <w:rFonts w:ascii="Arial" w:hAnsi="Arial" w:cs="Arial"/>
                <w:b/>
                <w:b/>
                <w:sz w:val="16"/>
                <w:szCs w:val="16"/>
              </w:rPr>
            </w:pPr>
            <w:r>
              <w:rPr>
                <w:rFonts w:cs="Arial" w:ascii="Arial" w:hAnsi="Arial"/>
                <w:b/>
                <w:sz w:val="24"/>
                <w:szCs w:val="24"/>
              </w:rPr>
              <w:t>División de Educación y Titulación Marítima</w:t>
            </w:r>
            <w:r>
              <w:rPr>
                <w:rFonts w:cs="Arial" w:ascii="Arial" w:hAnsi="Arial"/>
                <w:b/>
                <w:sz w:val="24"/>
                <w:szCs w:val="24"/>
                <w:lang w:val="es-MX"/>
              </w:rPr>
              <w:t>.</w:t>
            </w:r>
          </w:p>
        </w:tc>
        <w:tc>
          <w:tcPr>
            <w:tcW w:w="2319" w:type="dxa"/>
            <w:tcBorders/>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tc>
      </w:tr>
      <w:tr>
        <w:trPr>
          <w:tblHeader w:val="true"/>
        </w:trPr>
        <w:tc>
          <w:tcPr>
            <w:tcW w:w="671"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tc>
        <w:tc>
          <w:tcPr>
            <w:tcW w:w="3049" w:type="dxa"/>
            <w:tcBorders/>
          </w:tcPr>
          <w:p>
            <w:pPr>
              <w:pStyle w:val="Normal"/>
              <w:spacing w:lineRule="auto" w:line="240" w:before="0" w:after="0"/>
              <w:jc w:val="both"/>
              <w:rPr>
                <w:rFonts w:ascii="Arial" w:hAnsi="Arial" w:cs="Arial"/>
                <w:sz w:val="24"/>
                <w:szCs w:val="24"/>
              </w:rPr>
            </w:pPr>
            <w:r>
              <w:rPr>
                <w:rFonts w:cs="Arial" w:ascii="Arial" w:hAnsi="Arial"/>
                <w:sz w:val="24"/>
                <w:szCs w:val="24"/>
              </w:rPr>
              <w:t>Se evidenció que la M1 L. N. VALENZUELA, de dotación de esta división, no tiene acta de entrega de ningún cargo, sin embargo, ejecuta la mayoría de las funciones relacionadas con Educación y Titulación Marítima.</w:t>
            </w:r>
          </w:p>
        </w:tc>
        <w:tc>
          <w:tcPr>
            <w:tcW w:w="2834" w:type="dxa"/>
            <w:tcBorders/>
          </w:tcPr>
          <w:p>
            <w:pPr>
              <w:pStyle w:val="Prrafodelista1"/>
              <w:numPr>
                <w:ilvl w:val="0"/>
                <w:numId w:val="18"/>
              </w:numPr>
              <w:spacing w:lineRule="auto" w:line="240" w:before="0" w:after="0"/>
              <w:ind w:left="322" w:hanging="322"/>
              <w:contextualSpacing/>
              <w:jc w:val="both"/>
              <w:rPr>
                <w:rFonts w:ascii="Arial" w:hAnsi="Arial" w:cs="Arial"/>
                <w:sz w:val="24"/>
                <w:szCs w:val="24"/>
              </w:rPr>
            </w:pPr>
            <w:r>
              <w:rPr>
                <w:rFonts w:cs="Arial" w:ascii="Arial" w:hAnsi="Arial"/>
                <w:sz w:val="24"/>
                <w:szCs w:val="24"/>
              </w:rPr>
              <w:t>Resolución      D.G.T.M. y M.M. Ord. N° 6560/1 Vrs., de fecha 26 de enero de 2011, Manual de Organización y Operaciones de Gobernaciones Marítimas y Capitanías de Puerto.</w:t>
            </w:r>
          </w:p>
          <w:p>
            <w:pPr>
              <w:pStyle w:val="Prrafodelista1"/>
              <w:numPr>
                <w:ilvl w:val="0"/>
                <w:numId w:val="18"/>
              </w:numPr>
              <w:spacing w:lineRule="auto" w:line="240" w:before="0" w:after="0"/>
              <w:ind w:left="322" w:hanging="322"/>
              <w:contextualSpacing/>
              <w:jc w:val="both"/>
              <w:rPr>
                <w:rFonts w:ascii="Arial" w:hAnsi="Arial" w:cs="Arial"/>
                <w:sz w:val="24"/>
                <w:szCs w:val="24"/>
              </w:rPr>
            </w:pPr>
            <w:r>
              <w:rPr>
                <w:rFonts w:cs="Arial" w:ascii="Arial" w:hAnsi="Arial"/>
                <w:sz w:val="24"/>
                <w:szCs w:val="24"/>
              </w:rPr>
              <w:t>Reglamento 7-20/7, 1990, de Actas de Entrega de la Armada.</w:t>
            </w:r>
          </w:p>
        </w:tc>
        <w:tc>
          <w:tcPr>
            <w:tcW w:w="3015" w:type="dxa"/>
            <w:tcBorders/>
          </w:tcPr>
          <w:p>
            <w:pPr>
              <w:pStyle w:val="Normal"/>
              <w:spacing w:lineRule="auto" w:line="240" w:before="0" w:after="0"/>
              <w:jc w:val="both"/>
              <w:rPr>
                <w:rFonts w:ascii="Arial" w:hAnsi="Arial" w:cs="Arial"/>
                <w:sz w:val="24"/>
                <w:szCs w:val="24"/>
              </w:rPr>
            </w:pPr>
            <w:r>
              <w:rPr>
                <w:rFonts w:cs="Arial" w:ascii="Arial" w:hAnsi="Arial"/>
                <w:sz w:val="24"/>
                <w:szCs w:val="24"/>
              </w:rPr>
              <w:t>Disponer la definición y asignación de los Cargos y responsabilidades para los dos integrantes de la División, mediante O.P.I. o resolución. Considerar la confección de las correspondientes Actas de Entrega o Asunción, informando los números de catalogamiento/kardex y fechas de los actos administrativos internos que regularizan la observación.</w:t>
            </w:r>
          </w:p>
        </w:tc>
        <w:tc>
          <w:tcPr>
            <w:tcW w:w="3115" w:type="dxa"/>
            <w:tcBorders/>
          </w:tcPr>
          <w:p>
            <w:pPr>
              <w:pStyle w:val="Normal"/>
              <w:spacing w:lineRule="auto" w:line="240" w:before="0" w:after="0"/>
              <w:jc w:val="both"/>
              <w:rPr>
                <w:rFonts w:ascii="Arial" w:hAnsi="Arial" w:cs="Arial"/>
                <w:b/>
                <w:b/>
                <w:sz w:val="24"/>
                <w:szCs w:val="24"/>
                <w:lang w:val="es-MX"/>
              </w:rPr>
            </w:pPr>
            <w:r>
              <w:rPr>
                <w:rFonts w:cs="Arial" w:ascii="Arial" w:hAnsi="Arial"/>
                <w:bCs/>
                <w:sz w:val="24"/>
                <w:szCs w:val="24"/>
                <w:lang w:val="es-MX"/>
              </w:rPr>
              <w:t xml:space="preserve">Se confeccionó </w:t>
            </w:r>
            <w:r>
              <w:rPr>
                <w:rFonts w:cs="Arial" w:ascii="Arial" w:hAnsi="Arial"/>
                <w:bCs/>
                <w:sz w:val="24"/>
                <w:szCs w:val="24"/>
              </w:rPr>
              <w:t>A</w:t>
            </w:r>
            <w:r>
              <w:rPr>
                <w:rFonts w:cs="Arial" w:ascii="Arial" w:hAnsi="Arial"/>
                <w:bCs/>
                <w:sz w:val="24"/>
                <w:szCs w:val="24"/>
                <w:lang w:val="es-MX"/>
              </w:rPr>
              <w:t xml:space="preserve">cta de </w:t>
            </w:r>
            <w:r>
              <w:rPr>
                <w:rFonts w:cs="Arial" w:ascii="Arial" w:hAnsi="Arial"/>
                <w:bCs/>
                <w:sz w:val="24"/>
                <w:szCs w:val="24"/>
              </w:rPr>
              <w:t>E</w:t>
            </w:r>
            <w:r>
              <w:rPr>
                <w:rFonts w:cs="Arial" w:ascii="Arial" w:hAnsi="Arial"/>
                <w:bCs/>
                <w:sz w:val="24"/>
                <w:szCs w:val="24"/>
                <w:lang w:val="es-MX"/>
              </w:rPr>
              <w:t xml:space="preserve">ntrega del cargo de Educación y Titulación del Personal Marítimo, C.P.CHB. Ord. N° 4205/644, de fecha 25 de junio de 2021. </w:t>
            </w:r>
          </w:p>
        </w:tc>
        <w:tc>
          <w:tcPr>
            <w:tcW w:w="2910" w:type="dxa"/>
            <w:tcBorders/>
            <w:vAlign w:val="center"/>
          </w:tcPr>
          <w:p>
            <w:pPr>
              <w:pStyle w:val="Normal"/>
              <w:spacing w:lineRule="auto" w:line="240" w:before="0" w:after="0"/>
              <w:jc w:val="center"/>
              <w:rPr>
                <w:rFonts w:ascii="Arial" w:hAnsi="Arial" w:cs="Arial"/>
                <w:b/>
                <w:b/>
                <w:sz w:val="24"/>
                <w:szCs w:val="24"/>
              </w:rPr>
            </w:pPr>
            <w:r>
              <w:rPr>
                <w:rFonts w:cs="Arial" w:ascii="Arial" w:hAnsi="Arial"/>
                <w:b/>
                <w:sz w:val="24"/>
                <w:szCs w:val="24"/>
              </w:rPr>
              <w:t>SUPERADA</w:t>
            </w:r>
          </w:p>
        </w:tc>
        <w:tc>
          <w:tcPr>
            <w:tcW w:w="2319" w:type="dxa"/>
            <w:tcBorders/>
          </w:tcPr>
          <w:p>
            <w:pPr>
              <w:pStyle w:val="Normal"/>
              <w:spacing w:lineRule="auto" w:line="240" w:before="0" w:after="0"/>
              <w:ind w:left="167" w:hanging="167"/>
              <w:jc w:val="center"/>
              <w:rPr>
                <w:rFonts w:ascii="Arial" w:hAnsi="Arial" w:cs="Arial"/>
                <w:b/>
                <w:b/>
                <w:sz w:val="24"/>
                <w:szCs w:val="24"/>
              </w:rPr>
            </w:pPr>
            <w:r>
              <w:rPr>
                <w:rFonts w:cs="Arial" w:ascii="Arial" w:hAnsi="Arial"/>
                <w:b/>
                <w:sz w:val="24"/>
                <w:szCs w:val="24"/>
              </w:rPr>
            </w:r>
          </w:p>
        </w:tc>
      </w:tr>
      <w:tr>
        <w:trPr>
          <w:tblHeader w:val="true"/>
        </w:trPr>
        <w:tc>
          <w:tcPr>
            <w:tcW w:w="671"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b)</w:t>
            </w:r>
          </w:p>
        </w:tc>
        <w:tc>
          <w:tcPr>
            <w:tcW w:w="3049" w:type="dxa"/>
            <w:tcBorders/>
          </w:tcPr>
          <w:p>
            <w:pPr>
              <w:pStyle w:val="Normal"/>
              <w:spacing w:lineRule="auto" w:line="240" w:before="0" w:after="0"/>
              <w:jc w:val="both"/>
              <w:rPr>
                <w:rFonts w:ascii="Arial" w:hAnsi="Arial" w:cs="Arial"/>
                <w:sz w:val="24"/>
                <w:szCs w:val="24"/>
              </w:rPr>
            </w:pPr>
            <w:r>
              <w:rPr>
                <w:rFonts w:cs="Arial" w:ascii="Arial" w:hAnsi="Arial"/>
                <w:sz w:val="24"/>
                <w:szCs w:val="24"/>
              </w:rPr>
              <w:t xml:space="preserve">En el Libro de Registro de Agencias de Muellaje se evidenció que no hay concordancia entre el registro del N° de boleta de garantía que se encuentra escrito en el libro con la copia de la boleta que encuentra en la carpeta de ULTRAPORT. </w:t>
            </w:r>
          </w:p>
        </w:tc>
        <w:tc>
          <w:tcPr>
            <w:tcW w:w="2834" w:type="dxa"/>
            <w:tcBorders/>
          </w:tcPr>
          <w:p>
            <w:pPr>
              <w:pStyle w:val="Normal"/>
              <w:spacing w:lineRule="auto" w:line="240" w:before="0" w:after="0"/>
              <w:jc w:val="both"/>
              <w:rPr>
                <w:rFonts w:ascii="Arial" w:hAnsi="Arial" w:cs="Arial"/>
                <w:sz w:val="24"/>
                <w:szCs w:val="24"/>
              </w:rPr>
            </w:pPr>
            <w:r>
              <w:rPr>
                <w:rFonts w:cs="Arial" w:ascii="Arial" w:hAnsi="Arial"/>
                <w:sz w:val="24"/>
                <w:szCs w:val="24"/>
              </w:rPr>
              <w:t>Reglamento de Agentes de Naves; D.S. (M) N° 374, de fecha 02 de mayo de 1983.</w:t>
            </w:r>
          </w:p>
        </w:tc>
        <w:tc>
          <w:tcPr>
            <w:tcW w:w="3015" w:type="dxa"/>
            <w:tcBorders/>
          </w:tcPr>
          <w:p>
            <w:pPr>
              <w:pStyle w:val="Normal"/>
              <w:spacing w:lineRule="auto" w:line="240" w:before="0" w:after="0"/>
              <w:jc w:val="both"/>
              <w:rPr>
                <w:rFonts w:ascii="Arial" w:hAnsi="Arial" w:cs="Arial"/>
                <w:sz w:val="24"/>
                <w:szCs w:val="24"/>
              </w:rPr>
            </w:pPr>
            <w:r>
              <w:rPr>
                <w:rFonts w:cs="Arial" w:ascii="Arial" w:hAnsi="Arial"/>
                <w:sz w:val="24"/>
                <w:szCs w:val="24"/>
              </w:rPr>
              <w:t>Actualizar y revisar dicho Libro, objeto mantener en él información actualizada y corroborada de  las Agencias de Muellaje que cumplen funciones en esa Capitanía de Puerto, remitiendo copia de las páginas del libro que fueron actualizadas.</w:t>
            </w:r>
          </w:p>
        </w:tc>
        <w:tc>
          <w:tcPr>
            <w:tcW w:w="3115" w:type="dxa"/>
            <w:tcBorders/>
          </w:tcPr>
          <w:p>
            <w:pPr>
              <w:pStyle w:val="Normal"/>
              <w:spacing w:lineRule="auto" w:line="240" w:before="0" w:after="0"/>
              <w:jc w:val="both"/>
              <w:rPr>
                <w:rFonts w:ascii="Arial" w:hAnsi="Arial" w:cs="Arial"/>
                <w:b/>
                <w:b/>
                <w:sz w:val="24"/>
                <w:szCs w:val="24"/>
                <w:lang w:val="es-MX"/>
              </w:rPr>
            </w:pPr>
            <w:r>
              <w:rPr>
                <w:rFonts w:cs="Arial" w:ascii="Arial" w:hAnsi="Arial"/>
                <w:bCs/>
                <w:sz w:val="24"/>
                <w:szCs w:val="24"/>
                <w:lang w:val="es-MX"/>
              </w:rPr>
              <w:t>Se actualizó información del libro de las Agencias de Muellaje, corroborando los números de las boletas de garantías y certificados emitidos por la Inspección del Trabajo. Se adjuntan en el anexo “E” copias del citado libro.</w:t>
            </w:r>
          </w:p>
        </w:tc>
        <w:tc>
          <w:tcPr>
            <w:tcW w:w="2910" w:type="dxa"/>
            <w:tcBorders/>
            <w:vAlign w:val="center"/>
          </w:tcPr>
          <w:p>
            <w:pPr>
              <w:pStyle w:val="Normal"/>
              <w:spacing w:lineRule="auto" w:line="240" w:before="0" w:after="0"/>
              <w:jc w:val="center"/>
              <w:rPr>
                <w:rFonts w:ascii="Arial" w:hAnsi="Arial" w:cs="Arial"/>
                <w:b/>
                <w:b/>
                <w:sz w:val="24"/>
                <w:szCs w:val="24"/>
              </w:rPr>
            </w:pPr>
            <w:r>
              <w:rPr>
                <w:rFonts w:cs="Arial" w:ascii="Arial" w:hAnsi="Arial"/>
                <w:b/>
                <w:sz w:val="24"/>
                <w:szCs w:val="24"/>
              </w:rPr>
              <w:t>SUPERADA</w:t>
            </w:r>
          </w:p>
        </w:tc>
        <w:tc>
          <w:tcPr>
            <w:tcW w:w="2319" w:type="dxa"/>
            <w:tcBorders/>
          </w:tcPr>
          <w:p>
            <w:pPr>
              <w:pStyle w:val="Normal"/>
              <w:spacing w:lineRule="auto" w:line="240" w:before="0" w:after="0"/>
              <w:jc w:val="center"/>
              <w:rPr>
                <w:rFonts w:ascii="Arial" w:hAnsi="Arial" w:cs="Arial"/>
                <w:b/>
                <w:b/>
                <w:sz w:val="24"/>
                <w:szCs w:val="24"/>
              </w:rPr>
            </w:pPr>
            <w:r>
              <w:rPr>
                <w:rFonts w:cs="Arial" w:ascii="Arial" w:hAnsi="Arial"/>
                <w:b/>
                <w:sz w:val="24"/>
                <w:szCs w:val="24"/>
              </w:rPr>
            </w:r>
          </w:p>
        </w:tc>
      </w:tr>
    </w:tbl>
    <w:p>
      <w:pPr>
        <w:pStyle w:val="Normal"/>
        <w:rPr>
          <w:b/>
          <w:b/>
          <w:u w:val="single"/>
          <w:lang w:val="es-MX"/>
        </w:rPr>
      </w:pPr>
      <w:r>
        <w:rPr>
          <w:b/>
          <w:u w:val="single"/>
          <w:lang w:val="es-MX"/>
        </w:rPr>
      </w:r>
    </w:p>
    <w:p>
      <w:pPr>
        <w:pStyle w:val="Normal"/>
        <w:rPr>
          <w:b/>
          <w:b/>
          <w:u w:val="single"/>
          <w:lang w:val="es-MX"/>
        </w:rPr>
      </w:pPr>
      <w:r>
        <w:rPr>
          <w:b/>
          <w:u w:val="single"/>
          <w:lang w:val="es-MX"/>
        </w:rPr>
      </w:r>
    </w:p>
    <w:tbl>
      <w:tblPr>
        <w:tblStyle w:val="Tablaconcuadrcula"/>
        <w:tblW w:w="17746" w:type="dxa"/>
        <w:jc w:val="center"/>
        <w:tblInd w:w="0" w:type="dxa"/>
        <w:tblCellMar>
          <w:top w:w="0" w:type="dxa"/>
          <w:left w:w="108" w:type="dxa"/>
          <w:bottom w:w="0" w:type="dxa"/>
          <w:right w:w="108" w:type="dxa"/>
        </w:tblCellMar>
        <w:tblLook w:firstRow="1" w:noVBand="1" w:lastRow="0" w:firstColumn="1" w:lastColumn="0" w:noHBand="0" w:val="04a0"/>
      </w:tblPr>
      <w:tblGrid>
        <w:gridCol w:w="626"/>
        <w:gridCol w:w="2612"/>
        <w:gridCol w:w="2745"/>
        <w:gridCol w:w="2976"/>
        <w:gridCol w:w="2895"/>
        <w:gridCol w:w="3480"/>
        <w:gridCol w:w="2411"/>
      </w:tblGrid>
      <w:tr>
        <w:trPr>
          <w:tblHeader w:val="true"/>
        </w:trPr>
        <w:tc>
          <w:tcPr>
            <w:tcW w:w="62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61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74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97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289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348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411" w:type="dxa"/>
            <w:tcBorders/>
            <w:vAlign w:val="center"/>
          </w:tcPr>
          <w:p>
            <w:pPr>
              <w:pStyle w:val="Normal"/>
              <w:spacing w:lineRule="auto" w:line="240" w:before="0" w:after="0"/>
              <w:ind w:left="90" w:hanging="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334" w:type="dxa"/>
            <w:gridSpan w:val="6"/>
            <w:tcBorders/>
          </w:tcPr>
          <w:p>
            <w:pPr>
              <w:pStyle w:val="Normal"/>
              <w:spacing w:lineRule="auto" w:line="240" w:before="0" w:after="0"/>
              <w:ind w:left="34" w:right="30" w:hanging="0"/>
              <w:jc w:val="both"/>
              <w:rPr>
                <w:rFonts w:ascii="Arial" w:hAnsi="Arial" w:eastAsia="Times New Roman" w:cs="Arial"/>
                <w:b/>
                <w:b/>
                <w:sz w:val="16"/>
                <w:szCs w:val="16"/>
                <w:lang w:eastAsia="es-CL"/>
              </w:rPr>
            </w:pPr>
            <w:r>
              <w:rPr>
                <w:rFonts w:eastAsia="Times New Roman" w:cs="Arial" w:ascii="Arial" w:hAnsi="Arial"/>
                <w:b/>
                <w:sz w:val="16"/>
                <w:szCs w:val="16"/>
                <w:lang w:eastAsia="es-CL"/>
              </w:rPr>
            </w:r>
          </w:p>
          <w:p>
            <w:pPr>
              <w:pStyle w:val="Normal"/>
              <w:spacing w:lineRule="auto" w:line="240" w:before="0" w:after="0"/>
              <w:ind w:left="34" w:right="30" w:hanging="0"/>
              <w:jc w:val="both"/>
              <w:rPr>
                <w:rFonts w:ascii="Arial" w:hAnsi="Arial" w:cs="Arial"/>
                <w:b/>
                <w:b/>
                <w:sz w:val="16"/>
                <w:szCs w:val="16"/>
              </w:rPr>
            </w:pPr>
            <w:r>
              <w:rPr>
                <w:rFonts w:eastAsia="Calibri" w:cs="Arial" w:ascii="Arial" w:hAnsi="Arial"/>
                <w:b/>
                <w:sz w:val="24"/>
                <w:szCs w:val="24"/>
                <w:lang w:val="es-MX"/>
              </w:rPr>
              <w:t>División de Buceo Profesional y Deportes Náuticos</w:t>
            </w:r>
            <w:r>
              <w:rPr>
                <w:rFonts w:eastAsia="Times New Roman" w:cs="Arial" w:ascii="Arial" w:hAnsi="Arial"/>
                <w:b/>
                <w:sz w:val="24"/>
                <w:szCs w:val="24"/>
                <w:lang w:eastAsia="es-CL"/>
              </w:rPr>
              <w:t>.</w:t>
            </w:r>
          </w:p>
        </w:tc>
        <w:tc>
          <w:tcPr>
            <w:tcW w:w="2411" w:type="dxa"/>
            <w:tcBorders/>
          </w:tcPr>
          <w:p>
            <w:pPr>
              <w:pStyle w:val="Normal"/>
              <w:spacing w:lineRule="auto" w:line="240" w:before="0" w:after="0"/>
              <w:ind w:left="34" w:right="30" w:hanging="0"/>
              <w:jc w:val="both"/>
              <w:rPr>
                <w:rFonts w:ascii="Arial" w:hAnsi="Arial" w:eastAsia="Times New Roman" w:cs="Arial"/>
                <w:b/>
                <w:b/>
                <w:sz w:val="16"/>
                <w:szCs w:val="16"/>
                <w:lang w:eastAsia="es-CL"/>
              </w:rPr>
            </w:pPr>
            <w:r>
              <w:rPr>
                <w:rFonts w:eastAsia="Times New Roman" w:cs="Arial" w:ascii="Arial" w:hAnsi="Arial"/>
                <w:b/>
                <w:sz w:val="16"/>
                <w:szCs w:val="16"/>
                <w:lang w:eastAsia="es-CL"/>
              </w:rPr>
            </w:r>
          </w:p>
        </w:tc>
      </w:tr>
      <w:tr>
        <w:trPr>
          <w:tblHeader w:val="true"/>
        </w:trPr>
        <w:tc>
          <w:tcPr>
            <w:tcW w:w="626" w:type="dxa"/>
            <w:tcBorders/>
          </w:tcPr>
          <w:p>
            <w:pPr>
              <w:pStyle w:val="Normal"/>
              <w:spacing w:lineRule="auto" w:line="240" w:before="0" w:after="0"/>
              <w:ind w:left="34" w:right="30" w:hanging="0"/>
              <w:jc w:val="center"/>
              <w:rPr>
                <w:rFonts w:ascii="Arial" w:hAnsi="Arial" w:eastAsia="Times New Roman" w:cs="Arial"/>
                <w:sz w:val="24"/>
                <w:szCs w:val="24"/>
                <w:highlight w:val="yellow"/>
                <w:lang w:eastAsia="es-CL"/>
              </w:rPr>
            </w:pPr>
            <w:r>
              <w:rPr>
                <w:rFonts w:eastAsia="Times New Roman" w:cs="Arial" w:ascii="Arial" w:hAnsi="Arial"/>
                <w:sz w:val="24"/>
                <w:szCs w:val="24"/>
                <w:lang w:eastAsia="es-CL"/>
              </w:rPr>
              <w:t>a)</w:t>
            </w:r>
          </w:p>
        </w:tc>
        <w:tc>
          <w:tcPr>
            <w:tcW w:w="2612" w:type="dxa"/>
            <w:tcBorders/>
          </w:tcPr>
          <w:p>
            <w:pPr>
              <w:pStyle w:val="Normal"/>
              <w:spacing w:lineRule="auto" w:line="240" w:before="0" w:after="0"/>
              <w:jc w:val="both"/>
              <w:rPr>
                <w:rFonts w:ascii="Arial" w:hAnsi="Arial" w:cs="Arial"/>
                <w:sz w:val="24"/>
                <w:szCs w:val="24"/>
              </w:rPr>
            </w:pPr>
            <w:r>
              <w:rPr>
                <w:rFonts w:cs="Arial" w:ascii="Arial" w:hAnsi="Arial"/>
                <w:sz w:val="24"/>
                <w:szCs w:val="24"/>
              </w:rPr>
              <w:t>Se evidenció desconocimiento de la Circular A-41/003 de fecha</w:t>
            </w:r>
            <w:r>
              <w:rPr/>
              <w:t xml:space="preserve"> </w:t>
            </w:r>
            <w:r>
              <w:rPr>
                <w:rFonts w:cs="Arial" w:ascii="Arial" w:hAnsi="Arial"/>
                <w:sz w:val="24"/>
                <w:szCs w:val="24"/>
              </w:rPr>
              <w:t>28 de julio de 2020, especialmente en lo relacionado con la fiscalización de actividades náuticas de turismo aventura.</w:t>
            </w:r>
          </w:p>
        </w:tc>
        <w:tc>
          <w:tcPr>
            <w:tcW w:w="2745" w:type="dxa"/>
            <w:tcBorders/>
          </w:tcPr>
          <w:p>
            <w:pPr>
              <w:pStyle w:val="Normal"/>
              <w:spacing w:lineRule="auto" w:line="240" w:before="0" w:after="0"/>
              <w:jc w:val="both"/>
              <w:rPr>
                <w:rFonts w:ascii="Arial" w:hAnsi="Arial" w:cs="Arial"/>
                <w:sz w:val="24"/>
                <w:szCs w:val="24"/>
              </w:rPr>
            </w:pPr>
            <w:r>
              <w:rPr>
                <w:rFonts w:cs="Arial" w:ascii="Arial" w:hAnsi="Arial"/>
                <w:sz w:val="24"/>
                <w:szCs w:val="24"/>
              </w:rPr>
              <w:t>Circular A-41/003, de fecha 28 de julio de 2020, Regula las actividades deportivas y recreativas náuticas de turismo aventura que se desarrollan en aguas sometidas a la soberanía y jurisdicción nacional</w:t>
            </w:r>
          </w:p>
        </w:tc>
        <w:tc>
          <w:tcPr>
            <w:tcW w:w="2976" w:type="dxa"/>
            <w:tcBorders/>
          </w:tcPr>
          <w:p>
            <w:pPr>
              <w:pStyle w:val="Normal"/>
              <w:spacing w:lineRule="auto" w:line="240" w:before="0" w:after="0"/>
              <w:jc w:val="both"/>
              <w:rPr>
                <w:rFonts w:ascii="Arial" w:hAnsi="Arial" w:cs="Arial"/>
                <w:sz w:val="24"/>
                <w:szCs w:val="24"/>
              </w:rPr>
            </w:pPr>
            <w:r>
              <w:rPr>
                <w:rFonts w:cs="Arial" w:ascii="Arial" w:hAnsi="Arial"/>
                <w:sz w:val="24"/>
                <w:szCs w:val="24"/>
              </w:rPr>
              <w:t>Efectuar instrucción y disponer conocimiento bajo firma del personal involucrado en la administración, control y fiscalización de la citada directiva; remitiendo copia del acto administrativo que regulariza esta observación.</w:t>
            </w:r>
          </w:p>
        </w:tc>
        <w:tc>
          <w:tcPr>
            <w:tcW w:w="2895" w:type="dxa"/>
            <w:tcBorders/>
          </w:tcPr>
          <w:p>
            <w:pPr>
              <w:pStyle w:val="Normal"/>
              <w:spacing w:lineRule="auto" w:line="240" w:before="0" w:after="0"/>
              <w:jc w:val="both"/>
              <w:rPr>
                <w:rFonts w:ascii="Arial" w:hAnsi="Arial" w:cs="Arial"/>
                <w:b/>
                <w:b/>
                <w:sz w:val="24"/>
                <w:szCs w:val="24"/>
                <w:lang w:val="es-MX"/>
              </w:rPr>
            </w:pPr>
            <w:r>
              <w:rPr>
                <w:rFonts w:cs="Arial" w:ascii="Arial" w:hAnsi="Arial"/>
                <w:bCs/>
                <w:sz w:val="24"/>
                <w:szCs w:val="24"/>
                <w:lang w:val="es-MX"/>
              </w:rPr>
              <w:t>Se realizó instrucción por parte del Jefe de Departamento</w:t>
            </w:r>
            <w:r>
              <w:rPr>
                <w:rFonts w:cs="Arial" w:ascii="Arial" w:hAnsi="Arial"/>
                <w:bCs/>
                <w:sz w:val="24"/>
                <w:szCs w:val="24"/>
              </w:rPr>
              <w:t xml:space="preserve"> de Intereses Marítimos y Preservación del Medio Ambiente Acuático</w:t>
            </w:r>
            <w:r>
              <w:rPr>
                <w:rFonts w:cs="Arial" w:ascii="Arial" w:hAnsi="Arial"/>
                <w:bCs/>
                <w:sz w:val="24"/>
                <w:szCs w:val="24"/>
                <w:lang w:val="es-MX"/>
              </w:rPr>
              <w:t>, sobre el marco normativo involucrado en el control, competencias y fiscalización de la División de Buceo Profesional y Deportes Náuticos</w:t>
            </w:r>
            <w:r>
              <w:rPr>
                <w:rFonts w:cs="Arial" w:ascii="Arial" w:hAnsi="Arial"/>
                <w:b/>
                <w:sz w:val="24"/>
                <w:szCs w:val="24"/>
                <w:lang w:val="es-MX"/>
              </w:rPr>
              <w:t xml:space="preserve">. </w:t>
            </w:r>
            <w:r>
              <w:rPr>
                <w:rFonts w:cs="Arial" w:ascii="Arial" w:hAnsi="Arial"/>
                <w:sz w:val="24"/>
                <w:szCs w:val="24"/>
                <w:lang w:val="es-MX"/>
              </w:rPr>
              <w:t>Se adjunta en anexo “E” copia acta instrucción.</w:t>
            </w:r>
          </w:p>
        </w:tc>
        <w:tc>
          <w:tcPr>
            <w:tcW w:w="3480" w:type="dxa"/>
            <w:tcBorders/>
            <w:vAlign w:val="center"/>
          </w:tcPr>
          <w:p>
            <w:pPr>
              <w:pStyle w:val="Normal"/>
              <w:spacing w:lineRule="auto" w:line="240" w:before="0" w:after="0"/>
              <w:ind w:left="1869" w:hanging="1869"/>
              <w:jc w:val="center"/>
              <w:rPr>
                <w:rFonts w:ascii="Arial" w:hAnsi="Arial" w:cs="Arial"/>
                <w:b/>
                <w:b/>
                <w:sz w:val="24"/>
                <w:szCs w:val="24"/>
                <w:highlight w:val="yellow"/>
                <w:lang w:val="es-MX"/>
              </w:rPr>
            </w:pPr>
            <w:r>
              <w:rPr>
                <w:rFonts w:cs="Arial" w:ascii="Arial" w:hAnsi="Arial"/>
                <w:b/>
                <w:sz w:val="24"/>
                <w:szCs w:val="24"/>
                <w:lang w:val="es-MX"/>
              </w:rPr>
              <w:t>SUPERADA</w:t>
            </w:r>
          </w:p>
        </w:tc>
        <w:tc>
          <w:tcPr>
            <w:tcW w:w="241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lineRule="auto" w:line="240" w:before="0" w:after="0"/>
        <w:rPr>
          <w:rFonts w:ascii="Arial" w:hAnsi="Arial" w:cs="Arial"/>
          <w:b/>
          <w:b/>
          <w:sz w:val="24"/>
          <w:szCs w:val="24"/>
          <w:u w:val="single"/>
        </w:rPr>
      </w:pPr>
      <w:r>
        <w:rPr>
          <w:rFonts w:cs="Arial" w:ascii="Arial" w:hAnsi="Arial"/>
          <w:b/>
          <w:sz w:val="24"/>
          <w:szCs w:val="24"/>
          <w:u w:val="single"/>
        </w:rPr>
      </w:r>
    </w:p>
    <w:p>
      <w:pPr>
        <w:pStyle w:val="Normal"/>
        <w:widowControl w:val="false"/>
        <w:spacing w:lineRule="auto" w:line="240" w:before="0" w:after="0"/>
        <w:rPr>
          <w:rFonts w:ascii="Arial" w:hAnsi="Arial" w:cs="Arial"/>
          <w:sz w:val="24"/>
          <w:szCs w:val="24"/>
        </w:rPr>
      </w:pPr>
      <w:r>
        <w:rPr>
          <w:rFonts w:cs="Arial" w:ascii="Arial" w:hAnsi="Arial"/>
          <w:sz w:val="24"/>
          <w:szCs w:val="24"/>
        </w:rPr>
        <w:t>PUERTO AYSÉN, 20 DE DICIEMBRE DE 2021.</w:t>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bookmarkStart w:id="0" w:name="_GoBack"/>
      <w:bookmarkStart w:id="1" w:name="_GoBack"/>
      <w:bookmarkEnd w:id="1"/>
    </w:p>
    <w:p>
      <w:pPr>
        <w:pStyle w:val="Normal"/>
        <w:widowControl w:val="false"/>
        <w:spacing w:lineRule="auto" w:line="240" w:before="0" w:after="0"/>
        <w:jc w:val="center"/>
        <w:rPr>
          <w:rFonts w:ascii="Arial" w:hAnsi="Arial" w:cs="Arial"/>
          <w:sz w:val="24"/>
          <w:szCs w:val="24"/>
        </w:rPr>
      </w:pPr>
      <w:r>
        <w:rPr>
          <w:rFonts w:cs="Arial" w:ascii="Arial" w:hAnsi="Arial"/>
          <w:sz w:val="24"/>
          <w:szCs w:val="24"/>
        </w:rPr>
        <w:tab/>
        <w:tab/>
        <w:tab/>
        <w:tab/>
        <w:tab/>
        <w:tab/>
        <w:tab/>
        <w:t>FIRMADO</w:t>
      </w:r>
    </w:p>
    <w:p>
      <w:pPr>
        <w:pStyle w:val="Normal"/>
        <w:widowControl w:val="false"/>
        <w:spacing w:lineRule="auto" w:line="240" w:before="0" w:after="0"/>
        <w:jc w:val="center"/>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FELIPE ZAMBRANO IRRIBARRA</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CAPITÁN DE CORBETA LT</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GOBERNADOR MARÍTIMO DE AYSÉN</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SUPLENTE</w:t>
      </w:r>
    </w:p>
    <w:p>
      <w:pPr>
        <w:pStyle w:val="Normal"/>
        <w:pBdr/>
        <w:spacing w:lineRule="auto" w:line="240" w:before="0" w:after="0"/>
        <w:rPr>
          <w:rFonts w:ascii="Arial" w:hAnsi="Arial" w:eastAsia="Arial" w:cs="Arial"/>
          <w:b/>
          <w:b/>
          <w:sz w:val="24"/>
          <w:szCs w:val="24"/>
        </w:rPr>
      </w:pPr>
      <w:r>
        <w:rPr>
          <w:rFonts w:eastAsia="Arial" w:cs="Arial" w:ascii="Arial" w:hAnsi="Arial"/>
          <w:b/>
          <w:sz w:val="24"/>
          <w:szCs w:val="24"/>
          <w:u w:val="single"/>
        </w:rPr>
        <w:t>DISTRIBUCIÓN</w:t>
      </w:r>
      <w:r>
        <w:rPr>
          <w:rFonts w:eastAsia="Arial" w:cs="Arial" w:ascii="Arial" w:hAnsi="Arial"/>
          <w:b/>
          <w:sz w:val="24"/>
          <w:szCs w:val="24"/>
        </w:rPr>
        <w:t>:</w:t>
      </w:r>
    </w:p>
    <w:p>
      <w:pPr>
        <w:pStyle w:val="Normal"/>
        <w:pBdr/>
        <w:spacing w:lineRule="auto" w:line="240" w:before="0" w:after="0"/>
        <w:rPr>
          <w:rFonts w:ascii="Arial" w:hAnsi="Arial" w:eastAsia="Arial" w:cs="Arial"/>
          <w:sz w:val="24"/>
          <w:szCs w:val="24"/>
          <w:highlight w:val="white"/>
        </w:rPr>
      </w:pPr>
      <w:r>
        <w:rPr>
          <w:rFonts w:eastAsia="Arial" w:cs="Arial" w:ascii="Arial" w:hAnsi="Arial"/>
          <w:sz w:val="24"/>
          <w:szCs w:val="24"/>
        </w:rPr>
        <w:t>Misma Docto. Básico.</w:t>
      </w:r>
    </w:p>
    <w:sectPr>
      <w:headerReference w:type="default" r:id="rId3"/>
      <w:headerReference w:type="first" r:id="rId4"/>
      <w:type w:val="nextPage"/>
      <w:pgSz w:orient="landscape" w:w="18720" w:h="12240"/>
      <w:pgMar w:left="851" w:right="851" w:header="709" w:top="851" w:footer="0" w:bottom="28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Liberation Sans">
    <w:altName w:val="Arial"/>
    <w:charset w:val="00"/>
    <w:family w:val="swiss"/>
    <w:pitch w:val="variable"/>
  </w:font>
  <w:font w:name="Arial Unicode MS">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125895733"/>
    </w:sdtPr>
    <w:sdtContent>
      <w:p>
        <w:pPr>
          <w:pStyle w:val="Cabecera"/>
          <w:rPr>
            <w:rFonts w:ascii="Arial" w:hAnsi="Arial" w:cs="Arial"/>
            <w:sz w:val="24"/>
            <w:szCs w:val="24"/>
          </w:rPr>
        </w:pPr>
        <w:r>
          <w:rPr>
            <w:rFonts w:cs="Arial" w:ascii="Arial" w:hAnsi="Arial"/>
            <w:sz w:val="24"/>
            <w:szCs w:val="24"/>
          </w:rPr>
          <w:t xml:space="preserve">G.M.AYS. ORDINARIO N° 10510/1372/ D.G.T.M. Y M.M.                                                                                                                                   </w:t>
          <w:tab/>
          <w:tab/>
          <w:t xml:space="preserve"> HOJA N° </w:t>
        </w:r>
        <w:r>
          <w:rPr>
            <w:rFonts w:cs="Arial" w:ascii="Arial" w:hAnsi="Arial"/>
            <w:sz w:val="24"/>
            <w:szCs w:val="24"/>
          </w:rPr>
          <w:fldChar w:fldCharType="begin"/>
        </w:r>
        <w:r>
          <w:rPr>
            <w:sz w:val="24"/>
            <w:szCs w:val="24"/>
            <w:rFonts w:cs="Arial" w:ascii="Arial" w:hAnsi="Arial"/>
          </w:rPr>
          <w:instrText> PAGE </w:instrText>
        </w:r>
        <w:r>
          <w:rPr>
            <w:sz w:val="24"/>
            <w:szCs w:val="24"/>
            <w:rFonts w:cs="Arial" w:ascii="Arial" w:hAnsi="Arial"/>
          </w:rPr>
          <w:fldChar w:fldCharType="separate"/>
        </w:r>
        <w:r>
          <w:rPr>
            <w:sz w:val="24"/>
            <w:szCs w:val="24"/>
            <w:rFonts w:cs="Arial" w:ascii="Arial" w:hAnsi="Arial"/>
          </w:rPr>
          <w:t>20</w:t>
        </w:r>
        <w:r>
          <w:rPr>
            <w:sz w:val="24"/>
            <w:szCs w:val="24"/>
            <w:rFonts w:cs="Arial" w:ascii="Arial" w:hAnsi="Arial"/>
          </w:rPr>
          <w:fldChar w:fldCharType="end"/>
        </w:r>
      </w:p>
      <w:p>
        <w:pPr>
          <w:pStyle w:val="Cabecera"/>
          <w:rPr>
            <w:rFonts w:ascii="Arial" w:hAnsi="Arial" w:cs="Arial"/>
            <w:sz w:val="24"/>
            <w:szCs w:val="24"/>
          </w:rPr>
        </w:pPr>
        <w:r>
          <w:rPr>
            <w:rFonts w:cs="Arial" w:ascii="Arial" w:hAnsi="Arial"/>
            <w:sz w:val="24"/>
            <w:szCs w:val="24"/>
          </w:rPr>
          <w:t>ANEXO “B”</w:t>
        </w:r>
      </w:p>
      <w:p>
        <w:pPr>
          <w:pStyle w:val="Cabecera"/>
          <w:rPr>
            <w:rFonts w:ascii="Arial" w:hAnsi="Arial" w:cs="Arial"/>
            <w:sz w:val="24"/>
            <w:szCs w:val="24"/>
          </w:rPr>
        </w:pPr>
        <w:r>
          <w:rPr>
            <w:rFonts w:cs="Arial" w:ascii="Arial" w:hAnsi="Arial"/>
            <w:sz w:val="24"/>
            <w:szCs w:val="24"/>
          </w:rPr>
          <w:t>FECHA: 20 DIC. 2021</w:t>
        </w:r>
      </w:p>
    </w:sdtContent>
  </w:sdt>
  <w:p>
    <w:pPr>
      <w:pStyle w:val="Cabecera"/>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794922263"/>
    </w:sdtPr>
    <w:sdtContent>
      <w:p>
        <w:pPr>
          <w:pStyle w:val="Cabecera"/>
          <w:rPr>
            <w:rFonts w:ascii="Arial" w:hAnsi="Arial" w:cs="Arial"/>
            <w:sz w:val="24"/>
            <w:szCs w:val="24"/>
          </w:rPr>
        </w:pPr>
        <w:r>
          <w:rPr>
            <w:rFonts w:cs="Arial" w:ascii="Arial" w:hAnsi="Arial"/>
            <w:sz w:val="24"/>
            <w:szCs w:val="24"/>
          </w:rPr>
          <w:t xml:space="preserve">G.M.AYS. ORDINARIO N° 10510/1372/D.G.T.M. Y M.M.               </w:t>
          <w:tab/>
          <w:tab/>
          <w:t xml:space="preserve">                                                                                                   HOJA N° </w:t>
        </w:r>
        <w:r>
          <w:rPr>
            <w:rFonts w:cs="Arial" w:ascii="Arial" w:hAnsi="Arial"/>
            <w:sz w:val="24"/>
            <w:szCs w:val="24"/>
          </w:rPr>
          <w:fldChar w:fldCharType="begin"/>
        </w:r>
        <w:r>
          <w:rPr>
            <w:sz w:val="24"/>
            <w:szCs w:val="24"/>
            <w:rFonts w:cs="Arial" w:ascii="Arial" w:hAnsi="Arial"/>
          </w:rPr>
          <w:instrText> PAGE </w:instrText>
        </w:r>
        <w:r>
          <w:rPr>
            <w:sz w:val="24"/>
            <w:szCs w:val="24"/>
            <w:rFonts w:cs="Arial" w:ascii="Arial" w:hAnsi="Arial"/>
          </w:rPr>
          <w:fldChar w:fldCharType="separate"/>
        </w:r>
        <w:r>
          <w:rPr>
            <w:sz w:val="24"/>
            <w:szCs w:val="24"/>
            <w:rFonts w:cs="Arial" w:ascii="Arial" w:hAnsi="Arial"/>
          </w:rPr>
          <w:t>1</w:t>
        </w:r>
        <w:r>
          <w:rPr>
            <w:sz w:val="24"/>
            <w:szCs w:val="24"/>
            <w:rFonts w:cs="Arial" w:ascii="Arial" w:hAnsi="Arial"/>
          </w:rPr>
          <w:fldChar w:fldCharType="end"/>
        </w:r>
      </w:p>
      <w:p>
        <w:pPr>
          <w:pStyle w:val="Cabecera"/>
          <w:rPr>
            <w:rFonts w:ascii="Arial" w:hAnsi="Arial" w:cs="Arial"/>
            <w:sz w:val="24"/>
            <w:szCs w:val="24"/>
          </w:rPr>
        </w:pPr>
        <w:r>
          <w:rPr>
            <w:rFonts w:cs="Arial" w:ascii="Arial" w:hAnsi="Arial"/>
            <w:sz w:val="24"/>
            <w:szCs w:val="24"/>
          </w:rPr>
          <w:t>ANEXO “B”</w:t>
        </w:r>
      </w:p>
      <w:p>
        <w:pPr>
          <w:pStyle w:val="Cabecera"/>
          <w:rPr>
            <w:rFonts w:ascii="Arial" w:hAnsi="Arial" w:cs="Arial"/>
            <w:sz w:val="24"/>
            <w:szCs w:val="24"/>
          </w:rPr>
        </w:pPr>
        <w:r>
          <w:rPr>
            <w:rFonts w:cs="Arial" w:ascii="Arial" w:hAnsi="Arial"/>
            <w:sz w:val="24"/>
            <w:szCs w:val="24"/>
          </w:rPr>
          <w:t>FECHA: 20 DIC. 2021</w:t>
        </w:r>
      </w:p>
    </w:sdtContent>
  </w:sdt>
  <w:p>
    <w:pPr>
      <w:pStyle w:val="Cabecera"/>
      <w:rPr>
        <w:lang w:val="es-MX"/>
      </w:rPr>
    </w:pPr>
    <w:r>
      <w:rPr>
        <w:lang w:val="es-MX"/>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rPr>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lowerLetter"/>
      <w:lvlText w:val="%1.-"/>
      <w:lvlJc w:val="left"/>
      <w:pPr>
        <w:ind w:left="720" w:hanging="360"/>
      </w:pPr>
      <w:rPr>
        <w:sz w:val="24"/>
        <w:szCs w:val="24"/>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720" w:hanging="360"/>
      </w:pPr>
      <w:rPr>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lowerLetter"/>
      <w:lvlText w:val="%1.-"/>
      <w:lvlJc w:val="left"/>
      <w:pPr>
        <w:ind w:left="216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lvl w:ilvl="0">
      <w:start w:val="1"/>
      <w:numFmt w:val="lowerLetter"/>
      <w:lvlText w:val="%1.-"/>
      <w:lvlJc w:val="left"/>
      <w:pPr>
        <w:ind w:left="216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lowerLetter"/>
      <w:lvlText w:val="%1.-"/>
      <w:lvlJc w:val="left"/>
      <w:pPr>
        <w:ind w:left="720" w:hanging="360"/>
      </w:pPr>
      <w:rPr>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lowerLetter"/>
      <w:lvlText w:val="%1.-"/>
      <w:lvlJc w:val="left"/>
      <w:pPr>
        <w:ind w:left="720" w:hanging="360"/>
      </w:pPr>
      <w:rPr>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lvl w:ilvl="0">
      <w:start w:val="1"/>
      <w:numFmt w:val="lowerLetter"/>
      <w:lvlText w:val="%1.-"/>
      <w:lvlJc w:val="left"/>
      <w:pPr>
        <w:ind w:left="720" w:hanging="360"/>
      </w:pPr>
      <w:rPr>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rPr>
        <w:smallCaps w:val="false"/>
        <w:caps w:val="false"/>
        <w:sz w:val="24"/>
        <w:spacing w:val="0"/>
        <w:i w:val="false"/>
        <w:b w:val="false"/>
        <w:szCs w:val="24"/>
        <w:rFonts w:eastAsia="Times New Roman" w:cs="Arial"/>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rPr>
        <w:smallCaps w:val="false"/>
        <w:caps w:val="false"/>
        <w:sz w:val="24"/>
        <w:spacing w:val="0"/>
        <w:i w:val="false"/>
        <w:b w:val="false"/>
        <w:szCs w:val="24"/>
        <w:rFonts w:eastAsia="Times New Roman" w:cs="Arial"/>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2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CL"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CL"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uiPriority="1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c030c"/>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s-CL" w:eastAsia="en-US" w:bidi="ar-SA"/>
    </w:rPr>
  </w:style>
  <w:style w:type="paragraph" w:styleId="Ttulo1">
    <w:name w:val="Heading 1"/>
    <w:basedOn w:val="Normal"/>
    <w:next w:val="Normal"/>
    <w:link w:val="Ttulo1Car"/>
    <w:uiPriority w:val="9"/>
    <w:qFormat/>
    <w:rsid w:val="007d77d0"/>
    <w:pPr>
      <w:keepNext w:val="true"/>
      <w:keepLines/>
      <w:spacing w:before="480" w:after="0"/>
      <w:outlineLvl w:val="0"/>
    </w:pPr>
    <w:rPr>
      <w:rFonts w:ascii="Calibri Light" w:hAnsi="Calibri Light" w:eastAsia="新細明體" w:cs="" w:asciiTheme="majorHAnsi" w:cstheme="majorBidi" w:eastAsiaTheme="majorEastAsia" w:hAnsiTheme="majorHAnsi"/>
      <w:b/>
      <w:bCs/>
      <w:color w:val="2E74B5" w:themeColor="accent1" w:themeShade="bf"/>
      <w:sz w:val="28"/>
      <w:szCs w:val="28"/>
    </w:rPr>
  </w:style>
  <w:style w:type="character" w:styleId="DefaultParagraphFont" w:default="1">
    <w:name w:val="Default Paragraph Font"/>
    <w:uiPriority w:val="1"/>
    <w:semiHidden/>
    <w:unhideWhenUsed/>
    <w:qFormat/>
    <w:rPr/>
  </w:style>
  <w:style w:type="character" w:styleId="EnlacedeInternet" w:customStyle="1">
    <w:name w:val="Enlace de Internet"/>
    <w:rsid w:val="00d11b99"/>
    <w:rPr>
      <w:rFonts w:ascii="Times New Roman" w:hAnsi="Times New Roman" w:cs="Times New Roman"/>
      <w:color w:val="0000FF"/>
      <w:u w:val="single"/>
    </w:rPr>
  </w:style>
  <w:style w:type="character" w:styleId="EnlacedeInternetvisitado">
    <w:name w:val="Enlace de Internet visitado"/>
    <w:basedOn w:val="DefaultParagraphFont"/>
    <w:uiPriority w:val="99"/>
    <w:semiHidden/>
    <w:unhideWhenUsed/>
    <w:rsid w:val="00083738"/>
    <w:rPr>
      <w:color w:val="800080"/>
      <w:u w:val="single"/>
    </w:rPr>
  </w:style>
  <w:style w:type="character" w:styleId="EncabezadoCar" w:customStyle="1">
    <w:name w:val="Encabezado Car"/>
    <w:basedOn w:val="DefaultParagraphFont"/>
    <w:link w:val="Encabezado"/>
    <w:uiPriority w:val="99"/>
    <w:qFormat/>
    <w:rsid w:val="009d7e7c"/>
    <w:rPr/>
  </w:style>
  <w:style w:type="character" w:styleId="PiedepginaCar" w:customStyle="1">
    <w:name w:val="Pie de página Car"/>
    <w:basedOn w:val="DefaultParagraphFont"/>
    <w:link w:val="Piedepgina"/>
    <w:uiPriority w:val="99"/>
    <w:qFormat/>
    <w:rsid w:val="009d7e7c"/>
    <w:rPr/>
  </w:style>
  <w:style w:type="character" w:styleId="TextodegloboCar" w:customStyle="1">
    <w:name w:val="Texto de globo Car"/>
    <w:basedOn w:val="DefaultParagraphFont"/>
    <w:link w:val="Textodeglobo"/>
    <w:uiPriority w:val="99"/>
    <w:semiHidden/>
    <w:qFormat/>
    <w:rsid w:val="008b7557"/>
    <w:rPr>
      <w:rFonts w:ascii="Segoe UI" w:hAnsi="Segoe UI" w:cs="Segoe UI"/>
      <w:sz w:val="18"/>
      <w:szCs w:val="18"/>
    </w:rPr>
  </w:style>
  <w:style w:type="character" w:styleId="SangradetextonormalCar" w:customStyle="1">
    <w:name w:val="Sangría de texto normal Car"/>
    <w:basedOn w:val="DefaultParagraphFont"/>
    <w:link w:val="Sangradetextonormal"/>
    <w:semiHidden/>
    <w:qFormat/>
    <w:rsid w:val="0072750d"/>
    <w:rPr>
      <w:rFonts w:ascii="Arial" w:hAnsi="Arial" w:eastAsia="Times New Roman" w:cs="Arial"/>
      <w:sz w:val="24"/>
      <w:szCs w:val="24"/>
      <w:lang w:eastAsia="es-ES"/>
    </w:rPr>
  </w:style>
  <w:style w:type="character" w:styleId="Ttulo1Car" w:customStyle="1">
    <w:name w:val="Título 1 Car"/>
    <w:basedOn w:val="DefaultParagraphFont"/>
    <w:link w:val="Ttulo1"/>
    <w:uiPriority w:val="9"/>
    <w:qFormat/>
    <w:rsid w:val="007d77d0"/>
    <w:rPr>
      <w:rFonts w:ascii="Calibri Light" w:hAnsi="Calibri Light" w:eastAsia="新細明體" w:cs="" w:asciiTheme="majorHAnsi" w:cstheme="majorBidi" w:eastAsiaTheme="majorEastAsia" w:hAnsiTheme="majorHAnsi"/>
      <w:b/>
      <w:bCs/>
      <w:color w:val="2E74B5" w:themeColor="accent1" w:themeShade="bf"/>
      <w:sz w:val="28"/>
      <w:szCs w:val="28"/>
    </w:rPr>
  </w:style>
  <w:style w:type="character" w:styleId="Textoindependiente3Car" w:customStyle="1">
    <w:name w:val="Texto independiente 3 Car"/>
    <w:basedOn w:val="DefaultParagraphFont"/>
    <w:link w:val="Textoindependiente3"/>
    <w:uiPriority w:val="99"/>
    <w:semiHidden/>
    <w:qFormat/>
    <w:rsid w:val="00a34d3a"/>
    <w:rPr>
      <w:sz w:val="16"/>
      <w:szCs w:val="16"/>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ucida Sans"/>
    </w:rPr>
  </w:style>
  <w:style w:type="paragraph" w:styleId="Ley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Xl63" w:customStyle="1">
    <w:name w:val="xl63"/>
    <w:basedOn w:val="Normal"/>
    <w:qFormat/>
    <w:rsid w:val="00083738"/>
    <w:pPr>
      <w:spacing w:lineRule="auto" w:line="240" w:beforeAutospacing="1" w:afterAutospacing="1"/>
    </w:pPr>
    <w:rPr>
      <w:rFonts w:ascii="Arial" w:hAnsi="Arial" w:eastAsia="Times New Roman" w:cs="Arial"/>
      <w:b/>
      <w:bCs/>
      <w:sz w:val="18"/>
      <w:szCs w:val="18"/>
      <w:lang w:eastAsia="es-CL"/>
    </w:rPr>
  </w:style>
  <w:style w:type="paragraph" w:styleId="Xl64" w:customStyle="1">
    <w:name w:val="xl64"/>
    <w:basedOn w:val="Normal"/>
    <w:qFormat/>
    <w:rsid w:val="00083738"/>
    <w:pPr>
      <w:spacing w:lineRule="auto" w:line="240" w:beforeAutospacing="1" w:afterAutospacing="1"/>
    </w:pPr>
    <w:rPr>
      <w:rFonts w:ascii="Times New Roman" w:hAnsi="Times New Roman" w:eastAsia="Times New Roman" w:cs="Times New Roman"/>
      <w:sz w:val="18"/>
      <w:szCs w:val="18"/>
      <w:lang w:eastAsia="es-CL"/>
    </w:rPr>
  </w:style>
  <w:style w:type="paragraph" w:styleId="Xl65" w:customStyle="1">
    <w:name w:val="xl65"/>
    <w:basedOn w:val="Normal"/>
    <w:qFormat/>
    <w:rsid w:val="00083738"/>
    <w:pP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66" w:customStyle="1">
    <w:name w:val="xl66"/>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jc w:val="both"/>
      <w:textAlignment w:val="center"/>
    </w:pPr>
    <w:rPr>
      <w:rFonts w:ascii="Arial" w:hAnsi="Arial" w:eastAsia="Times New Roman" w:cs="Arial"/>
      <w:sz w:val="18"/>
      <w:szCs w:val="18"/>
      <w:lang w:eastAsia="es-CL"/>
    </w:rPr>
  </w:style>
  <w:style w:type="paragraph" w:styleId="Xl67" w:customStyle="1">
    <w:name w:val="xl67"/>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68" w:customStyle="1">
    <w:name w:val="xl68"/>
    <w:basedOn w:val="Normal"/>
    <w:qFormat/>
    <w:rsid w:val="00083738"/>
    <w:pPr>
      <w:spacing w:lineRule="auto" w:line="240" w:beforeAutospacing="1" w:afterAutospacing="1"/>
    </w:pPr>
    <w:rPr>
      <w:rFonts w:ascii="Times New Roman" w:hAnsi="Times New Roman" w:eastAsia="Times New Roman" w:cs="Times New Roman"/>
      <w:sz w:val="16"/>
      <w:szCs w:val="16"/>
      <w:lang w:eastAsia="es-CL"/>
    </w:rPr>
  </w:style>
  <w:style w:type="paragraph" w:styleId="Xl69" w:customStyle="1">
    <w:name w:val="xl69"/>
    <w:basedOn w:val="Normal"/>
    <w:qFormat/>
    <w:rsid w:val="00083738"/>
    <w:pPr>
      <w:spacing w:lineRule="auto" w:line="240" w:beforeAutospacing="1" w:afterAutospacing="1"/>
    </w:pPr>
    <w:rPr>
      <w:rFonts w:ascii="Times New Roman" w:hAnsi="Times New Roman" w:eastAsia="Times New Roman" w:cs="Times New Roman"/>
      <w:sz w:val="16"/>
      <w:szCs w:val="16"/>
      <w:lang w:eastAsia="es-CL"/>
    </w:rPr>
  </w:style>
  <w:style w:type="paragraph" w:styleId="Xl70" w:customStyle="1">
    <w:name w:val="xl70"/>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71" w:customStyle="1">
    <w:name w:val="xl71"/>
    <w:basedOn w:val="Normal"/>
    <w:qFormat/>
    <w:rsid w:val="00083738"/>
    <w:pPr>
      <w:pBdr>
        <w:top w:val="single" w:sz="4" w:space="0" w:color="000000"/>
        <w:left w:val="single" w:sz="4" w:space="0" w:color="000000"/>
        <w:bottom w:val="single" w:sz="4" w:space="0" w:color="000000"/>
        <w:right w:val="single" w:sz="8"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72" w:customStyle="1">
    <w:name w:val="xl72"/>
    <w:basedOn w:val="Normal"/>
    <w:qFormat/>
    <w:rsid w:val="00083738"/>
    <w:pPr>
      <w:pBdr>
        <w:top w:val="single" w:sz="4" w:space="0" w:color="000000"/>
        <w:left w:val="single" w:sz="4" w:space="0" w:color="000000"/>
        <w:bottom w:val="single" w:sz="4" w:space="0" w:color="000000"/>
        <w:right w:val="single" w:sz="8"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73" w:customStyle="1">
    <w:name w:val="xl73"/>
    <w:basedOn w:val="Normal"/>
    <w:qFormat/>
    <w:rsid w:val="00083738"/>
    <w:pPr>
      <w:spacing w:lineRule="auto" w:line="240" w:beforeAutospacing="1" w:afterAutospacing="1"/>
      <w:jc w:val="center"/>
      <w:textAlignment w:val="center"/>
    </w:pPr>
    <w:rPr>
      <w:rFonts w:ascii="Times New Roman" w:hAnsi="Times New Roman" w:eastAsia="Times New Roman" w:cs="Times New Roman"/>
      <w:sz w:val="18"/>
      <w:szCs w:val="18"/>
      <w:lang w:eastAsia="es-CL"/>
    </w:rPr>
  </w:style>
  <w:style w:type="paragraph" w:styleId="Xl74" w:customStyle="1">
    <w:name w:val="xl74"/>
    <w:basedOn w:val="Normal"/>
    <w:qFormat/>
    <w:rsid w:val="00083738"/>
    <w:pPr>
      <w:spacing w:lineRule="auto" w:line="240" w:beforeAutospacing="1" w:afterAutospacing="1"/>
      <w:jc w:val="center"/>
    </w:pPr>
    <w:rPr>
      <w:rFonts w:ascii="Arial" w:hAnsi="Arial" w:eastAsia="Times New Roman" w:cs="Arial"/>
      <w:b/>
      <w:bCs/>
      <w:sz w:val="24"/>
      <w:szCs w:val="24"/>
      <w:lang w:eastAsia="es-CL"/>
    </w:rPr>
  </w:style>
  <w:style w:type="paragraph" w:styleId="Xl75" w:customStyle="1">
    <w:name w:val="xl75"/>
    <w:basedOn w:val="Normal"/>
    <w:qFormat/>
    <w:rsid w:val="00083738"/>
    <w:pPr>
      <w:pBdr>
        <w:top w:val="single" w:sz="8"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6" w:customStyle="1">
    <w:name w:val="xl76"/>
    <w:basedOn w:val="Normal"/>
    <w:qFormat/>
    <w:rsid w:val="00083738"/>
    <w:pPr>
      <w:pBdr>
        <w:top w:val="single" w:sz="8" w:space="0" w:color="000000"/>
        <w:bottom w:val="single" w:sz="8"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7" w:customStyle="1">
    <w:name w:val="xl77"/>
    <w:basedOn w:val="Normal"/>
    <w:qFormat/>
    <w:rsid w:val="00083738"/>
    <w:pPr>
      <w:pBdr>
        <w:top w:val="single" w:sz="8"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8" w:customStyle="1">
    <w:name w:val="xl78"/>
    <w:basedOn w:val="Normal"/>
    <w:qFormat/>
    <w:rsid w:val="00083738"/>
    <w:pPr>
      <w:pBdr>
        <w:top w:val="single" w:sz="8" w:space="0" w:color="000000"/>
        <w:left w:val="single" w:sz="4" w:space="0" w:color="000000"/>
        <w:bottom w:val="single" w:sz="8" w:space="0" w:color="000000"/>
        <w:right w:val="single" w:sz="8"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9" w:customStyle="1">
    <w:name w:val="xl79"/>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jc w:val="both"/>
      <w:textAlignment w:val="center"/>
    </w:pPr>
    <w:rPr>
      <w:rFonts w:ascii="Arial" w:hAnsi="Arial" w:eastAsia="Times New Roman" w:cs="Arial"/>
      <w:sz w:val="18"/>
      <w:szCs w:val="18"/>
      <w:lang w:eastAsia="es-CL"/>
    </w:rPr>
  </w:style>
  <w:style w:type="paragraph" w:styleId="Xl80" w:customStyle="1">
    <w:name w:val="xl80"/>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1" w:customStyle="1">
    <w:name w:val="xl81"/>
    <w:basedOn w:val="Normal"/>
    <w:qFormat/>
    <w:rsid w:val="00083738"/>
    <w:pPr>
      <w:pBdr>
        <w:top w:val="single" w:sz="8" w:space="0" w:color="000000"/>
        <w:left w:val="single" w:sz="4" w:space="0" w:color="000000"/>
        <w:bottom w:val="single" w:sz="4" w:space="0" w:color="000000"/>
        <w:right w:val="single" w:sz="8"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2" w:customStyle="1">
    <w:name w:val="xl82"/>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3" w:customStyle="1">
    <w:name w:val="xl83"/>
    <w:basedOn w:val="Normal"/>
    <w:qFormat/>
    <w:rsid w:val="00083738"/>
    <w:pPr>
      <w:pBdr>
        <w:top w:val="single" w:sz="4" w:space="0" w:color="000000"/>
        <w:left w:val="single" w:sz="4" w:space="0" w:color="000000"/>
        <w:bottom w:val="single" w:sz="8" w:space="0" w:color="000000"/>
        <w:right w:val="single" w:sz="8"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4" w:customStyle="1">
    <w:name w:val="xl84"/>
    <w:basedOn w:val="Normal"/>
    <w:qFormat/>
    <w:rsid w:val="00083738"/>
    <w:pPr>
      <w:pBdr>
        <w:top w:val="single" w:sz="8" w:space="0" w:color="000000"/>
        <w:left w:val="single" w:sz="8"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5" w:customStyle="1">
    <w:name w:val="xl85"/>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6" w:customStyle="1">
    <w:name w:val="xl86"/>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7" w:customStyle="1">
    <w:name w:val="xl87"/>
    <w:basedOn w:val="Normal"/>
    <w:qFormat/>
    <w:rsid w:val="00083738"/>
    <w:pPr>
      <w:pBdr>
        <w:top w:val="single" w:sz="4" w:space="0" w:color="000000"/>
        <w:left w:val="single" w:sz="8" w:space="0" w:color="000000"/>
        <w:bottom w:val="single" w:sz="8"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8" w:customStyle="1">
    <w:name w:val="xl88"/>
    <w:basedOn w:val="Normal"/>
    <w:qFormat/>
    <w:rsid w:val="00083738"/>
    <w:pPr>
      <w:pBdr>
        <w:top w:val="single" w:sz="8"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89" w:customStyle="1">
    <w:name w:val="xl89"/>
    <w:basedOn w:val="Normal"/>
    <w:qFormat/>
    <w:rsid w:val="00083738"/>
    <w:pPr>
      <w:pBdr>
        <w:top w:val="single" w:sz="8" w:space="0" w:color="000000"/>
        <w:left w:val="single" w:sz="4" w:space="0" w:color="000000"/>
        <w:bottom w:val="single" w:sz="8" w:space="0" w:color="000000"/>
        <w:right w:val="single" w:sz="4" w:space="0" w:color="000000"/>
      </w:pBdr>
      <w:spacing w:lineRule="auto" w:line="240" w:beforeAutospacing="1" w:afterAutospacing="1"/>
      <w:textAlignment w:val="center"/>
    </w:pPr>
    <w:rPr>
      <w:rFonts w:ascii="Arial" w:hAnsi="Arial" w:eastAsia="Times New Roman" w:cs="Arial"/>
      <w:b/>
      <w:bCs/>
      <w:sz w:val="18"/>
      <w:szCs w:val="18"/>
      <w:lang w:eastAsia="es-CL"/>
    </w:rPr>
  </w:style>
  <w:style w:type="paragraph" w:styleId="Xl90" w:customStyle="1">
    <w:name w:val="xl90"/>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1" w:customStyle="1">
    <w:name w:val="xl91"/>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2" w:customStyle="1">
    <w:name w:val="xl92"/>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3" w:customStyle="1">
    <w:name w:val="xl93"/>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4" w:customStyle="1">
    <w:name w:val="xl94"/>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5" w:customStyle="1">
    <w:name w:val="xl95"/>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6" w:customStyle="1">
    <w:name w:val="xl96"/>
    <w:basedOn w:val="Normal"/>
    <w:qFormat/>
    <w:rsid w:val="00083738"/>
    <w:pPr>
      <w:spacing w:lineRule="auto" w:line="240" w:beforeAutospacing="1" w:afterAutospacing="1"/>
      <w:jc w:val="center"/>
    </w:pPr>
    <w:rPr>
      <w:rFonts w:ascii="Arial" w:hAnsi="Arial" w:eastAsia="Times New Roman" w:cs="Arial"/>
      <w:b/>
      <w:bCs/>
      <w:sz w:val="24"/>
      <w:szCs w:val="24"/>
      <w:u w:val="single"/>
      <w:lang w:eastAsia="es-CL"/>
    </w:rPr>
  </w:style>
  <w:style w:type="paragraph" w:styleId="Xl97" w:customStyle="1">
    <w:name w:val="xl97"/>
    <w:basedOn w:val="Normal"/>
    <w:qFormat/>
    <w:rsid w:val="00083738"/>
    <w:pPr>
      <w:pBdr>
        <w:top w:val="single" w:sz="8"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98" w:customStyle="1">
    <w:name w:val="xl98"/>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99" w:customStyle="1">
    <w:name w:val="xl99"/>
    <w:basedOn w:val="Normal"/>
    <w:qFormat/>
    <w:rsid w:val="00083738"/>
    <w:pPr>
      <w:pBdr>
        <w:top w:val="single" w:sz="4"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Cabeceraypie">
    <w:name w:val="Cabecera y pie"/>
    <w:basedOn w:val="Normal"/>
    <w:qFormat/>
    <w:pPr/>
    <w:rPr/>
  </w:style>
  <w:style w:type="paragraph" w:styleId="Cabecera">
    <w:name w:val="Header"/>
    <w:basedOn w:val="Normal"/>
    <w:link w:val="EncabezadoCar"/>
    <w:uiPriority w:val="99"/>
    <w:unhideWhenUsed/>
    <w:rsid w:val="009d7e7c"/>
    <w:pPr>
      <w:tabs>
        <w:tab w:val="clear" w:pos="708"/>
        <w:tab w:val="center" w:pos="4419" w:leader="none"/>
        <w:tab w:val="right" w:pos="8838" w:leader="none"/>
      </w:tabs>
      <w:spacing w:lineRule="auto" w:line="240" w:before="0" w:after="0"/>
    </w:pPr>
    <w:rPr/>
  </w:style>
  <w:style w:type="paragraph" w:styleId="Piedepgina">
    <w:name w:val="Footer"/>
    <w:basedOn w:val="Normal"/>
    <w:link w:val="PiedepginaCar"/>
    <w:uiPriority w:val="99"/>
    <w:unhideWhenUsed/>
    <w:qFormat/>
    <w:rsid w:val="009d7e7c"/>
    <w:pPr>
      <w:tabs>
        <w:tab w:val="clear" w:pos="708"/>
        <w:tab w:val="center" w:pos="4419" w:leader="none"/>
        <w:tab w:val="right" w:pos="8838" w:leader="none"/>
      </w:tabs>
      <w:spacing w:lineRule="auto" w:line="240" w:before="0" w:after="0"/>
    </w:pPr>
    <w:rPr/>
  </w:style>
  <w:style w:type="paragraph" w:styleId="BalloonText">
    <w:name w:val="Balloon Text"/>
    <w:basedOn w:val="Normal"/>
    <w:link w:val="TextodegloboCar"/>
    <w:uiPriority w:val="99"/>
    <w:semiHidden/>
    <w:unhideWhenUsed/>
    <w:qFormat/>
    <w:rsid w:val="008b7557"/>
    <w:pPr>
      <w:spacing w:lineRule="auto" w:line="240" w:before="0" w:after="0"/>
    </w:pPr>
    <w:rPr>
      <w:rFonts w:ascii="Segoe UI" w:hAnsi="Segoe UI" w:cs="Segoe UI"/>
      <w:sz w:val="18"/>
      <w:szCs w:val="18"/>
    </w:rPr>
  </w:style>
  <w:style w:type="paragraph" w:styleId="ListParagraph">
    <w:name w:val="List Paragraph"/>
    <w:basedOn w:val="Normal"/>
    <w:uiPriority w:val="34"/>
    <w:qFormat/>
    <w:rsid w:val="008757a3"/>
    <w:pPr>
      <w:spacing w:before="0" w:after="160"/>
      <w:ind w:left="720" w:hanging="0"/>
      <w:contextualSpacing/>
    </w:pPr>
    <w:rPr/>
  </w:style>
  <w:style w:type="paragraph" w:styleId="Cuerpodetextoconsangra">
    <w:name w:val="Body Text Indent"/>
    <w:basedOn w:val="Normal"/>
    <w:link w:val="SangradetextonormalCar"/>
    <w:semiHidden/>
    <w:rsid w:val="0072750d"/>
    <w:pPr>
      <w:spacing w:lineRule="auto" w:line="240" w:before="0" w:after="0"/>
      <w:ind w:left="4560" w:hanging="0"/>
      <w:jc w:val="both"/>
    </w:pPr>
    <w:rPr>
      <w:rFonts w:ascii="Arial" w:hAnsi="Arial" w:eastAsia="Times New Roman" w:cs="Arial"/>
      <w:sz w:val="24"/>
      <w:szCs w:val="24"/>
      <w:lang w:eastAsia="es-ES"/>
    </w:rPr>
  </w:style>
  <w:style w:type="paragraph" w:styleId="NormalWeb">
    <w:name w:val="Normal (Web)"/>
    <w:basedOn w:val="Normal"/>
    <w:uiPriority w:val="99"/>
    <w:qFormat/>
    <w:rsid w:val="0097641b"/>
    <w:pPr>
      <w:spacing w:lineRule="auto" w:line="288" w:beforeAutospacing="1" w:after="142"/>
    </w:pPr>
    <w:rPr>
      <w:rFonts w:ascii="Arial Unicode MS" w:hAnsi="Arial Unicode MS" w:eastAsia="Times New Roman" w:cs="Arial Unicode MS"/>
      <w:sz w:val="24"/>
      <w:szCs w:val="24"/>
      <w:lang w:val="es-ES" w:eastAsia="es-ES"/>
    </w:rPr>
  </w:style>
  <w:style w:type="paragraph" w:styleId="BodyText3">
    <w:name w:val="Body Text 3"/>
    <w:basedOn w:val="Normal"/>
    <w:link w:val="Textoindependiente3Car"/>
    <w:uiPriority w:val="99"/>
    <w:semiHidden/>
    <w:unhideWhenUsed/>
    <w:qFormat/>
    <w:rsid w:val="00a34d3a"/>
    <w:pPr>
      <w:spacing w:before="0" w:after="120"/>
    </w:pPr>
    <w:rPr>
      <w:sz w:val="16"/>
      <w:szCs w:val="16"/>
    </w:rPr>
  </w:style>
  <w:style w:type="paragraph" w:styleId="Prrafodelista1" w:customStyle="1">
    <w:name w:val="Párrafo de lista1"/>
    <w:basedOn w:val="Normal"/>
    <w:uiPriority w:val="34"/>
    <w:qFormat/>
    <w:rsid w:val="00d405b9"/>
    <w:pPr>
      <w:spacing w:before="0" w:after="160"/>
      <w:ind w:left="720" w:hanging="0"/>
      <w:contextualSpacing/>
    </w:pPr>
    <w:rPr/>
  </w:style>
  <w:style w:type="paragraph" w:styleId="Western" w:customStyle="1">
    <w:name w:val="western"/>
    <w:qFormat/>
    <w:rsid w:val="00d405b9"/>
    <w:pPr>
      <w:widowControl/>
      <w:bidi w:val="0"/>
      <w:spacing w:lineRule="auto" w:line="276" w:before="0" w:after="200"/>
      <w:jc w:val="left"/>
    </w:pPr>
    <w:rPr>
      <w:rFonts w:ascii="Calibri" w:hAnsi="Calibri" w:eastAsia="SimSun" w:cs="Times New Roman" w:asciiTheme="minorHAnsi" w:hAnsiTheme="minorHAnsi"/>
      <w:color w:val="auto"/>
      <w:kern w:val="0"/>
      <w:sz w:val="22"/>
      <w:szCs w:val="22"/>
      <w:lang w:val="en-US" w:eastAsia="zh-C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uiPriority w:val="59"/>
    <w:rsid w:val="00083738"/>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aconcuadrcula1">
    <w:name w:val="Tabla con cuadrícula1"/>
    <w:basedOn w:val="Tablanormal"/>
    <w:uiPriority w:val="59"/>
    <w:rsid w:val="00bb65a5"/>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aconcuadrcula2">
    <w:name w:val="Tabla con cuadrícula2"/>
    <w:basedOn w:val="Tablanormal"/>
    <w:uiPriority w:val="59"/>
    <w:rsid w:val="00325bc7"/>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eyanez@dgtm.cl"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EAB73-C8FD-4B26-A72C-0671D50A5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Application>LibreOffice/6.4.0.3$Windows_X86_64 LibreOffice_project/b0a288ab3d2d4774cb44b62f04d5d28733ac6df8</Application>
  <Pages>9</Pages>
  <Words>4490</Words>
  <Characters>24333</Characters>
  <CharactersWithSpaces>28765</CharactersWithSpaces>
  <Paragraphs>313</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2021-11-02T14:43:00Z</dcterms:created>
  <dc:creator>Luis Zamora Inostroza</dc:creator>
  <dc:description/>
  <dc:language>es-CL</dc:language>
  <cp:lastModifiedBy>Luis Redlich Contreras</cp:lastModifiedBy>
  <cp:lastPrinted>2021-12-20T18:27:00Z</cp:lastPrinted>
  <dcterms:modified xsi:type="dcterms:W3CDTF">2021-12-21T12:02:00Z</dcterms:modified>
  <cp:revision>56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